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39" w:rsidRDefault="00D23499">
      <w:r>
        <w:rPr>
          <w:rFonts w:ascii="Arial" w:hAnsi="Arial" w:cs="Arial"/>
          <w:noProof/>
          <w:color w:val="C7C8CA"/>
          <w:sz w:val="18"/>
          <w:szCs w:val="18"/>
          <w:lang w:eastAsia="da-DK"/>
        </w:rPr>
        <w:drawing>
          <wp:inline distT="0" distB="0" distL="0" distR="0">
            <wp:extent cx="1916342" cy="1440000"/>
            <wp:effectExtent l="38100" t="57150" r="46355" b="46355"/>
            <wp:docPr id="1" name="Billede 1" descr="http://cache2.allpostersimages.com/p/LRG/55/5548/66ELG00Z/posters/richard-l-anson-colosseum-and-traffic-on-via-del-fori-imper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Image" descr="http://cache2.allpostersimages.com/p/LRG/55/5548/66ELG00Z/posters/richard-l-anson-colosseum-and-traffic-on-via-del-fori-imperia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342" cy="1440000"/>
                    </a:xfrm>
                    <a:prstGeom prst="rect">
                      <a:avLst/>
                    </a:prstGeom>
                    <a:noFill/>
                    <a:ln>
                      <a:noFill/>
                    </a:ln>
                    <a:scene3d>
                      <a:camera prst="orthographicFront"/>
                      <a:lightRig rig="threePt" dir="t"/>
                    </a:scene3d>
                    <a:sp3d>
                      <a:bevelT/>
                    </a:sp3d>
                  </pic:spPr>
                </pic:pic>
              </a:graphicData>
            </a:graphic>
          </wp:inline>
        </w:drawing>
      </w:r>
      <w:r w:rsidR="00B23DC8">
        <w:t xml:space="preserve"> Egeparkens fremtid?</w:t>
      </w:r>
    </w:p>
    <w:p w:rsidR="00B23DC8" w:rsidRDefault="00B23DC8"/>
    <w:p w:rsidR="00B23DC8" w:rsidRDefault="00B23DC8"/>
    <w:p w:rsidR="00B23DC8" w:rsidRDefault="00B23DC8"/>
    <w:p w:rsidR="00E1337F" w:rsidRDefault="00E1337F"/>
    <w:p w:rsidR="00E1337F" w:rsidRDefault="00E1337F"/>
    <w:p w:rsidR="00E1337F" w:rsidRDefault="00E1337F"/>
    <w:p w:rsidR="00E1337F" w:rsidRDefault="00E1337F"/>
    <w:p w:rsidR="00B23DC8" w:rsidRDefault="00B23DC8">
      <w:pPr>
        <w:rPr>
          <w:b/>
          <w:color w:val="FF0000"/>
          <w:sz w:val="72"/>
          <w:szCs w:val="72"/>
        </w:rPr>
      </w:pPr>
      <w:r w:rsidRPr="00B23DC8">
        <w:rPr>
          <w:b/>
          <w:color w:val="FF0000"/>
          <w:sz w:val="72"/>
          <w:szCs w:val="72"/>
        </w:rPr>
        <w:t xml:space="preserve">Beretning Egeparken 1 </w:t>
      </w:r>
    </w:p>
    <w:p w:rsidR="00E1337F" w:rsidRDefault="00B23DC8">
      <w:pPr>
        <w:rPr>
          <w:b/>
          <w:color w:val="FF0000"/>
          <w:sz w:val="72"/>
          <w:szCs w:val="72"/>
        </w:rPr>
      </w:pPr>
      <w:r w:rsidRPr="00B23DC8">
        <w:rPr>
          <w:b/>
          <w:color w:val="FF0000"/>
          <w:sz w:val="72"/>
          <w:szCs w:val="72"/>
        </w:rPr>
        <w:t>2012-2013</w:t>
      </w:r>
    </w:p>
    <w:p w:rsidR="00E1337F" w:rsidRDefault="00E1337F">
      <w:pPr>
        <w:rPr>
          <w:b/>
          <w:color w:val="FF0000"/>
          <w:sz w:val="72"/>
          <w:szCs w:val="72"/>
        </w:rPr>
      </w:pPr>
      <w:r>
        <w:rPr>
          <w:b/>
          <w:color w:val="FF0000"/>
          <w:sz w:val="72"/>
          <w:szCs w:val="72"/>
        </w:rPr>
        <w:br w:type="page"/>
      </w:r>
    </w:p>
    <w:p w:rsidR="00B23DC8" w:rsidRDefault="00E1337F">
      <w:pPr>
        <w:rPr>
          <w:b/>
          <w:color w:val="FF0000"/>
          <w:sz w:val="72"/>
          <w:szCs w:val="72"/>
        </w:rPr>
      </w:pPr>
      <w:r w:rsidRPr="00E1337F">
        <w:rPr>
          <w:rFonts w:ascii="Times New Roman" w:hAnsi="Times New Roman" w:cs="Times New Roman"/>
          <w:b/>
          <w:color w:val="FF0000"/>
          <w:sz w:val="44"/>
          <w:szCs w:val="44"/>
        </w:rPr>
        <w:lastRenderedPageBreak/>
        <w:t>Vigtige ting i året</w:t>
      </w:r>
      <w:r>
        <w:rPr>
          <w:b/>
          <w:color w:val="FF0000"/>
          <w:sz w:val="72"/>
          <w:szCs w:val="72"/>
        </w:rPr>
        <w:t>.</w:t>
      </w:r>
    </w:p>
    <w:p w:rsidR="00E1337F" w:rsidRPr="00E1337F" w:rsidRDefault="00E1337F" w:rsidP="00E1337F">
      <w:pPr>
        <w:pStyle w:val="Listeafsnit"/>
        <w:numPr>
          <w:ilvl w:val="0"/>
          <w:numId w:val="1"/>
        </w:numPr>
        <w:rPr>
          <w:rFonts w:ascii="Times New Roman" w:hAnsi="Times New Roman" w:cs="Times New Roman"/>
          <w:b/>
          <w:sz w:val="28"/>
          <w:szCs w:val="28"/>
        </w:rPr>
      </w:pPr>
      <w:r w:rsidRPr="00E1415F">
        <w:rPr>
          <w:rFonts w:ascii="Times New Roman" w:hAnsi="Times New Roman" w:cs="Times New Roman"/>
          <w:b/>
          <w:color w:val="0070C0"/>
          <w:sz w:val="28"/>
          <w:szCs w:val="28"/>
        </w:rPr>
        <w:t>Fjernvarme</w:t>
      </w:r>
      <w:r w:rsidR="00AC2359">
        <w:rPr>
          <w:rFonts w:ascii="Times New Roman" w:hAnsi="Times New Roman" w:cs="Times New Roman"/>
          <w:b/>
          <w:color w:val="0070C0"/>
          <w:sz w:val="28"/>
          <w:szCs w:val="28"/>
        </w:rPr>
        <w:t>, b</w:t>
      </w:r>
      <w:r w:rsidR="005B417F" w:rsidRPr="00E1415F">
        <w:rPr>
          <w:rFonts w:ascii="Times New Roman" w:hAnsi="Times New Roman" w:cs="Times New Roman"/>
          <w:b/>
          <w:color w:val="0070C0"/>
          <w:sz w:val="28"/>
          <w:szCs w:val="28"/>
        </w:rPr>
        <w:t>oilerrum og kælderbelysning</w:t>
      </w:r>
      <w:r w:rsidR="005B417F">
        <w:rPr>
          <w:rFonts w:ascii="Times New Roman" w:hAnsi="Times New Roman" w:cs="Times New Roman"/>
          <w:b/>
          <w:sz w:val="28"/>
          <w:szCs w:val="28"/>
        </w:rPr>
        <w:t>.</w:t>
      </w:r>
    </w:p>
    <w:p w:rsidR="005B417F" w:rsidRDefault="00E1337F" w:rsidP="00E1337F">
      <w:pPr>
        <w:rPr>
          <w:rFonts w:ascii="Times New Roman" w:hAnsi="Times New Roman" w:cs="Times New Roman"/>
          <w:sz w:val="28"/>
          <w:szCs w:val="28"/>
        </w:rPr>
      </w:pPr>
      <w:r w:rsidRPr="00E1337F">
        <w:rPr>
          <w:rFonts w:ascii="Times New Roman" w:hAnsi="Times New Roman" w:cs="Times New Roman"/>
          <w:sz w:val="28"/>
          <w:szCs w:val="28"/>
        </w:rPr>
        <w:t>Bestyrelsen</w:t>
      </w:r>
      <w:r>
        <w:rPr>
          <w:rFonts w:ascii="Times New Roman" w:hAnsi="Times New Roman" w:cs="Times New Roman"/>
          <w:sz w:val="28"/>
          <w:szCs w:val="28"/>
        </w:rPr>
        <w:t xml:space="preserve"> har naturligvis været levende optaget af fjernvarmen</w:t>
      </w:r>
      <w:r w:rsidR="005B417F">
        <w:rPr>
          <w:rFonts w:ascii="Times New Roman" w:hAnsi="Times New Roman" w:cs="Times New Roman"/>
          <w:sz w:val="28"/>
          <w:szCs w:val="28"/>
        </w:rPr>
        <w:t xml:space="preserve"> og i det hele taget varmesituationen.</w:t>
      </w:r>
    </w:p>
    <w:p w:rsidR="00F044A1" w:rsidRDefault="005B417F" w:rsidP="00E1337F">
      <w:pPr>
        <w:rPr>
          <w:rFonts w:ascii="Times New Roman" w:hAnsi="Times New Roman" w:cs="Times New Roman"/>
          <w:sz w:val="28"/>
          <w:szCs w:val="28"/>
        </w:rPr>
      </w:pPr>
      <w:r>
        <w:rPr>
          <w:rFonts w:ascii="Times New Roman" w:hAnsi="Times New Roman" w:cs="Times New Roman"/>
          <w:sz w:val="28"/>
          <w:szCs w:val="28"/>
        </w:rPr>
        <w:t>Varmeudgifterne er steget igen i 2012 og vores tidligere leverandør EON vil gerne have at den skal stige endnu mere. Her er selskabet heldigvis gået ind og har sagt stop. Vi stiger ”kun” 10 procent</w:t>
      </w:r>
      <w:r w:rsidR="00AC2359">
        <w:rPr>
          <w:rFonts w:ascii="Times New Roman" w:hAnsi="Times New Roman" w:cs="Times New Roman"/>
          <w:sz w:val="28"/>
          <w:szCs w:val="28"/>
        </w:rPr>
        <w:t xml:space="preserve"> takket være en ”</w:t>
      </w:r>
      <w:proofErr w:type="gramStart"/>
      <w:r w:rsidR="00AC2359">
        <w:rPr>
          <w:rFonts w:ascii="Times New Roman" w:hAnsi="Times New Roman" w:cs="Times New Roman"/>
          <w:sz w:val="28"/>
          <w:szCs w:val="28"/>
        </w:rPr>
        <w:t xml:space="preserve">huslejeboykot” </w:t>
      </w:r>
      <w:r>
        <w:rPr>
          <w:rFonts w:ascii="Times New Roman" w:hAnsi="Times New Roman" w:cs="Times New Roman"/>
          <w:sz w:val="28"/>
          <w:szCs w:val="28"/>
        </w:rPr>
        <w:t>.</w:t>
      </w:r>
      <w:proofErr w:type="gramEnd"/>
      <w:r>
        <w:rPr>
          <w:rFonts w:ascii="Times New Roman" w:hAnsi="Times New Roman" w:cs="Times New Roman"/>
          <w:sz w:val="28"/>
          <w:szCs w:val="28"/>
        </w:rPr>
        <w:t xml:space="preserve"> EON vil have endnu mere og der er en proces i gang i ”Energiklagesystemet”</w:t>
      </w:r>
      <w:r w:rsidR="002E77C1">
        <w:rPr>
          <w:rFonts w:ascii="Times New Roman" w:hAnsi="Times New Roman" w:cs="Times New Roman"/>
          <w:sz w:val="28"/>
          <w:szCs w:val="28"/>
        </w:rPr>
        <w:t xml:space="preserve">. EON er en transnational koncern med en omsætning større end det offentlige budget i Danmark, så de </w:t>
      </w:r>
      <w:r w:rsidR="00AC2359">
        <w:rPr>
          <w:rFonts w:ascii="Times New Roman" w:hAnsi="Times New Roman" w:cs="Times New Roman"/>
          <w:sz w:val="28"/>
          <w:szCs w:val="28"/>
        </w:rPr>
        <w:t xml:space="preserve">har råd til at </w:t>
      </w:r>
      <w:r w:rsidR="002E77C1">
        <w:rPr>
          <w:rFonts w:ascii="Times New Roman" w:hAnsi="Times New Roman" w:cs="Times New Roman"/>
          <w:sz w:val="28"/>
          <w:szCs w:val="28"/>
        </w:rPr>
        <w:t>kæmpe for hver enkelt krone. Hvis vi vinder vil vi få penge tilbage om nogle år, hvis vi taber kan vi få lån. Så tak til selskabet for god opbakning.</w:t>
      </w:r>
    </w:p>
    <w:p w:rsidR="002E77C1" w:rsidRDefault="00F044A1" w:rsidP="00E1337F">
      <w:pPr>
        <w:rPr>
          <w:rFonts w:ascii="Times New Roman" w:hAnsi="Times New Roman" w:cs="Times New Roman"/>
          <w:sz w:val="28"/>
          <w:szCs w:val="28"/>
        </w:rPr>
      </w:pPr>
      <w:r>
        <w:rPr>
          <w:rFonts w:ascii="Times New Roman" w:hAnsi="Times New Roman" w:cs="Times New Roman"/>
          <w:sz w:val="28"/>
          <w:szCs w:val="28"/>
        </w:rPr>
        <w:t xml:space="preserve">Vi har dog et problem, som vi også påpegede overfor selskabet. Når vi siger ja til en 10 % stigning nu har vi så ikke anerkendt kravet, så det lander på en stigning på 10 %. Det er vi rigtig kede af hvis det ender sådan. </w:t>
      </w:r>
    </w:p>
    <w:p w:rsidR="00E1337F" w:rsidRDefault="002E77C1" w:rsidP="00E1337F">
      <w:pPr>
        <w:rPr>
          <w:rFonts w:ascii="Times New Roman" w:hAnsi="Times New Roman" w:cs="Times New Roman"/>
          <w:sz w:val="28"/>
          <w:szCs w:val="28"/>
        </w:rPr>
      </w:pPr>
      <w:r>
        <w:rPr>
          <w:rFonts w:ascii="Times New Roman" w:hAnsi="Times New Roman" w:cs="Times New Roman"/>
          <w:sz w:val="28"/>
          <w:szCs w:val="28"/>
        </w:rPr>
        <w:t xml:space="preserve">Fjernvarmen er nu vedtaget i kommunen og frist for indsigelse er udløbet så den kører nu. Vi skal så have en entreprenør, der skal foretage det fornødne, så vi kan få fjernevarme og nye boilerrum. Som det ser ud for øjeblikket er der håb om at vi får fjernevarme pr 1. november. </w:t>
      </w:r>
      <w:r w:rsidRPr="002E77C1">
        <w:rPr>
          <w:rFonts w:ascii="Times New Roman" w:hAnsi="Times New Roman" w:cs="Times New Roman"/>
          <w:color w:val="FF0000"/>
          <w:sz w:val="28"/>
          <w:szCs w:val="28"/>
        </w:rPr>
        <w:t>Men skal vi ikke sige 4 kvartal 2013?</w:t>
      </w:r>
      <w:r>
        <w:rPr>
          <w:rFonts w:ascii="Times New Roman" w:hAnsi="Times New Roman" w:cs="Times New Roman"/>
          <w:color w:val="FF0000"/>
          <w:sz w:val="28"/>
          <w:szCs w:val="28"/>
        </w:rPr>
        <w:t xml:space="preserve"> </w:t>
      </w:r>
      <w:r w:rsidRPr="002E77C1">
        <w:rPr>
          <w:rFonts w:ascii="Times New Roman" w:hAnsi="Times New Roman" w:cs="Times New Roman"/>
          <w:sz w:val="28"/>
          <w:szCs w:val="28"/>
        </w:rPr>
        <w:t xml:space="preserve">Det bliver billigere og mere miljørigtigt, men hvor meget vi sparer kan vi ikke nøjagtigt sige endnu. </w:t>
      </w:r>
    </w:p>
    <w:p w:rsidR="002E77C1" w:rsidRDefault="002E77C1" w:rsidP="00E1337F">
      <w:pPr>
        <w:rPr>
          <w:rFonts w:ascii="Times New Roman" w:hAnsi="Times New Roman" w:cs="Times New Roman"/>
          <w:sz w:val="28"/>
          <w:szCs w:val="28"/>
        </w:rPr>
      </w:pPr>
      <w:r>
        <w:rPr>
          <w:rFonts w:ascii="Times New Roman" w:hAnsi="Times New Roman" w:cs="Times New Roman"/>
          <w:sz w:val="28"/>
          <w:szCs w:val="28"/>
        </w:rPr>
        <w:t>Kældrene får ny belysning i løbet af året, så der kommer et system, der tænder når der er bevægelse i kælderen, altså vi får ikke lys der brænder hele døgnet uanset om der er mennesker i kælderen.</w:t>
      </w:r>
    </w:p>
    <w:p w:rsidR="002E77C1" w:rsidRDefault="002E77C1" w:rsidP="00E1337F">
      <w:pPr>
        <w:rPr>
          <w:rFonts w:ascii="Times New Roman" w:hAnsi="Times New Roman" w:cs="Times New Roman"/>
          <w:sz w:val="28"/>
          <w:szCs w:val="28"/>
        </w:rPr>
      </w:pPr>
      <w:r>
        <w:rPr>
          <w:rFonts w:ascii="Times New Roman" w:hAnsi="Times New Roman" w:cs="Times New Roman"/>
          <w:sz w:val="28"/>
          <w:szCs w:val="28"/>
        </w:rPr>
        <w:t>Der er gået et stykke tid siden vi vedtog at have mulighed for at optage lån til dækning af udgifterne så det beløb vi skal låne er faldet. Når vi ser resultat af licitationer senere på året vil det fremgå hvad der skal optages lån for og om der i det hele taget skal optages lån.</w:t>
      </w:r>
    </w:p>
    <w:p w:rsidR="005E13B2" w:rsidRPr="005E13B2" w:rsidRDefault="005E13B2" w:rsidP="005E13B2">
      <w:pPr>
        <w:ind w:left="360"/>
        <w:rPr>
          <w:rFonts w:ascii="Times New Roman" w:hAnsi="Times New Roman" w:cs="Times New Roman"/>
          <w:color w:val="0070C0"/>
          <w:sz w:val="28"/>
          <w:szCs w:val="28"/>
        </w:rPr>
      </w:pPr>
      <w:r w:rsidRPr="005E13B2">
        <w:rPr>
          <w:rFonts w:ascii="Times New Roman" w:hAnsi="Times New Roman" w:cs="Times New Roman"/>
          <w:sz w:val="28"/>
          <w:szCs w:val="28"/>
        </w:rPr>
        <w:t>Hvad angår 2012 gav vi følgende råd i beboerorientering i september</w:t>
      </w:r>
      <w:r w:rsidRPr="005E13B2">
        <w:rPr>
          <w:color w:val="0000FF"/>
          <w:sz w:val="36"/>
          <w:szCs w:val="36"/>
        </w:rPr>
        <w:t xml:space="preserve"> </w:t>
      </w:r>
      <w:r w:rsidRPr="005E13B2">
        <w:rPr>
          <w:rFonts w:ascii="Times New Roman" w:hAnsi="Times New Roman" w:cs="Times New Roman"/>
          <w:color w:val="0070C0"/>
          <w:sz w:val="28"/>
          <w:szCs w:val="28"/>
        </w:rPr>
        <w:t>Begynd at spar og spar op nu. Efterbetalinger kommer midt i 2013. så der er nogle måneder at spare op i, hvis jeres forbrug ikke er faldet.</w:t>
      </w:r>
    </w:p>
    <w:p w:rsidR="002E77C1" w:rsidRDefault="002E77C1" w:rsidP="00E1337F">
      <w:pPr>
        <w:rPr>
          <w:rFonts w:ascii="Times New Roman" w:hAnsi="Times New Roman" w:cs="Times New Roman"/>
          <w:sz w:val="28"/>
          <w:szCs w:val="28"/>
        </w:rPr>
      </w:pPr>
      <w:r>
        <w:rPr>
          <w:rFonts w:ascii="Times New Roman" w:hAnsi="Times New Roman" w:cs="Times New Roman"/>
          <w:sz w:val="28"/>
          <w:szCs w:val="28"/>
        </w:rPr>
        <w:lastRenderedPageBreak/>
        <w:t xml:space="preserve"> Resume: </w:t>
      </w:r>
      <w:r w:rsidRPr="00E1415F">
        <w:rPr>
          <w:rFonts w:ascii="Times New Roman" w:hAnsi="Times New Roman" w:cs="Times New Roman"/>
          <w:color w:val="FF0000"/>
          <w:sz w:val="28"/>
          <w:szCs w:val="28"/>
        </w:rPr>
        <w:t>Fjernvarme indføres i løbet af 4. kvartal og vi vil 1. januar sandsynligvis have fjernvarme, nye boilerrum og ny kælderbelysning</w:t>
      </w:r>
      <w:r>
        <w:rPr>
          <w:rFonts w:ascii="Times New Roman" w:hAnsi="Times New Roman" w:cs="Times New Roman"/>
          <w:sz w:val="28"/>
          <w:szCs w:val="28"/>
        </w:rPr>
        <w:t>.</w:t>
      </w:r>
    </w:p>
    <w:p w:rsidR="002E77C1" w:rsidRDefault="002E77C1" w:rsidP="00E1337F">
      <w:pPr>
        <w:rPr>
          <w:rFonts w:ascii="Times New Roman" w:hAnsi="Times New Roman" w:cs="Times New Roman"/>
          <w:sz w:val="28"/>
          <w:szCs w:val="28"/>
        </w:rPr>
      </w:pPr>
    </w:p>
    <w:p w:rsidR="002E77C1" w:rsidRDefault="00E1415F" w:rsidP="00E84193">
      <w:pPr>
        <w:pStyle w:val="Listeafsnit"/>
        <w:numPr>
          <w:ilvl w:val="0"/>
          <w:numId w:val="1"/>
        </w:numPr>
        <w:rPr>
          <w:rFonts w:ascii="Times New Roman" w:hAnsi="Times New Roman" w:cs="Times New Roman"/>
          <w:color w:val="0070C0"/>
          <w:sz w:val="28"/>
          <w:szCs w:val="28"/>
        </w:rPr>
      </w:pPr>
      <w:r w:rsidRPr="00E84193">
        <w:rPr>
          <w:rFonts w:ascii="Times New Roman" w:hAnsi="Times New Roman" w:cs="Times New Roman"/>
          <w:color w:val="0070C0"/>
          <w:sz w:val="28"/>
          <w:szCs w:val="28"/>
        </w:rPr>
        <w:t xml:space="preserve">Budget og regnskab. </w:t>
      </w:r>
    </w:p>
    <w:p w:rsidR="002D4B0B" w:rsidRPr="00F044A1" w:rsidRDefault="002D4B0B" w:rsidP="002D4B0B">
      <w:pPr>
        <w:pStyle w:val="Listeafsnit"/>
        <w:numPr>
          <w:ilvl w:val="0"/>
          <w:numId w:val="3"/>
        </w:numPr>
        <w:rPr>
          <w:rFonts w:ascii="Times New Roman" w:hAnsi="Times New Roman" w:cs="Times New Roman"/>
          <w:b/>
          <w:sz w:val="28"/>
          <w:szCs w:val="28"/>
        </w:rPr>
      </w:pPr>
      <w:r w:rsidRPr="00F044A1">
        <w:rPr>
          <w:rFonts w:ascii="Times New Roman" w:hAnsi="Times New Roman" w:cs="Times New Roman"/>
          <w:b/>
          <w:sz w:val="28"/>
          <w:szCs w:val="28"/>
        </w:rPr>
        <w:t xml:space="preserve">Budget. </w:t>
      </w:r>
    </w:p>
    <w:p w:rsidR="002D4B0B" w:rsidRDefault="002D4B0B" w:rsidP="00E1337F">
      <w:pPr>
        <w:rPr>
          <w:rFonts w:ascii="Times New Roman" w:hAnsi="Times New Roman" w:cs="Times New Roman"/>
          <w:sz w:val="28"/>
          <w:szCs w:val="28"/>
        </w:rPr>
      </w:pPr>
      <w:r>
        <w:rPr>
          <w:rFonts w:ascii="Times New Roman" w:hAnsi="Times New Roman" w:cs="Times New Roman"/>
          <w:sz w:val="28"/>
          <w:szCs w:val="28"/>
        </w:rPr>
        <w:t xml:space="preserve">Ændringerne der er større end 25.000 kr. i forhold til sidste års budget fremgår af figuren. </w:t>
      </w:r>
    </w:p>
    <w:p w:rsidR="002D4B0B" w:rsidRPr="00660BE6" w:rsidRDefault="00660BE6" w:rsidP="00E1337F">
      <w:pPr>
        <w:rPr>
          <w:rFonts w:ascii="Times New Roman" w:hAnsi="Times New Roman" w:cs="Times New Roman"/>
          <w:b/>
          <w:sz w:val="28"/>
          <w:szCs w:val="28"/>
        </w:rPr>
      </w:pPr>
      <w:r w:rsidRPr="00660BE6">
        <w:rPr>
          <w:rFonts w:ascii="Times New Roman" w:hAnsi="Times New Roman" w:cs="Times New Roman"/>
          <w:b/>
          <w:sz w:val="28"/>
          <w:szCs w:val="28"/>
        </w:rPr>
        <w:t xml:space="preserve">Figur 1. Ændringer i budget 2013-14 på mere end 25.000 kr. </w:t>
      </w:r>
    </w:p>
    <w:p w:rsidR="002D4B0B" w:rsidRDefault="002D4B0B" w:rsidP="00E1337F">
      <w:pPr>
        <w:rPr>
          <w:b/>
          <w:color w:val="FF0000"/>
          <w:sz w:val="28"/>
          <w:szCs w:val="28"/>
        </w:rPr>
      </w:pPr>
      <w:r>
        <w:rPr>
          <w:noProof/>
          <w:lang w:eastAsia="da-DK"/>
        </w:rPr>
        <w:drawing>
          <wp:inline distT="0" distB="0" distL="0" distR="0" wp14:anchorId="37505A5F" wp14:editId="0C1ED939">
            <wp:extent cx="6120130" cy="3014035"/>
            <wp:effectExtent l="0" t="0" r="13970" b="152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4B0B" w:rsidRDefault="002D4B0B" w:rsidP="00E1337F">
      <w:pPr>
        <w:rPr>
          <w:rFonts w:ascii="Times New Roman" w:hAnsi="Times New Roman" w:cs="Times New Roman"/>
          <w:sz w:val="28"/>
          <w:szCs w:val="28"/>
        </w:rPr>
      </w:pPr>
      <w:r w:rsidRPr="002D4B0B">
        <w:rPr>
          <w:rFonts w:ascii="Times New Roman" w:hAnsi="Times New Roman" w:cs="Times New Roman"/>
          <w:sz w:val="28"/>
          <w:szCs w:val="28"/>
        </w:rPr>
        <w:t>I det oprindelige udkast til budget</w:t>
      </w:r>
      <w:r>
        <w:rPr>
          <w:rFonts w:ascii="Times New Roman" w:hAnsi="Times New Roman" w:cs="Times New Roman"/>
          <w:sz w:val="28"/>
          <w:szCs w:val="28"/>
        </w:rPr>
        <w:t xml:space="preserve"> fra selskabet var der et forslag til stigning på 4,5 % Selv om vi sagtens kunne bruge pengene har vi i bestyrelsen</w:t>
      </w:r>
      <w:r w:rsidR="00AC2359">
        <w:rPr>
          <w:rFonts w:ascii="Times New Roman" w:hAnsi="Times New Roman" w:cs="Times New Roman"/>
          <w:sz w:val="28"/>
          <w:szCs w:val="28"/>
        </w:rPr>
        <w:t>s forslag</w:t>
      </w:r>
      <w:r>
        <w:rPr>
          <w:rFonts w:ascii="Times New Roman" w:hAnsi="Times New Roman" w:cs="Times New Roman"/>
          <w:sz w:val="28"/>
          <w:szCs w:val="28"/>
        </w:rPr>
        <w:t xml:space="preserve"> reduceret til en stigning på 3,0 %. Det er sket ved at konto 120 henlæggelser er reduceret med 160 tusinde. Når vi har turdet gøre det skyldes det, at vi i de seneste 5 år har fået en stigning på 1 </w:t>
      </w:r>
      <w:proofErr w:type="spellStart"/>
      <w:r>
        <w:rPr>
          <w:rFonts w:ascii="Times New Roman" w:hAnsi="Times New Roman" w:cs="Times New Roman"/>
          <w:sz w:val="28"/>
          <w:szCs w:val="28"/>
        </w:rPr>
        <w:t>mill</w:t>
      </w:r>
      <w:proofErr w:type="spellEnd"/>
      <w:r w:rsidR="00B951F7">
        <w:rPr>
          <w:rFonts w:ascii="Times New Roman" w:hAnsi="Times New Roman" w:cs="Times New Roman"/>
          <w:sz w:val="28"/>
          <w:szCs w:val="28"/>
        </w:rPr>
        <w:t>.</w:t>
      </w:r>
      <w:r w:rsidR="00F044A1">
        <w:rPr>
          <w:rFonts w:ascii="Times New Roman" w:hAnsi="Times New Roman" w:cs="Times New Roman"/>
          <w:sz w:val="28"/>
          <w:szCs w:val="28"/>
        </w:rPr>
        <w:t xml:space="preserve"> </w:t>
      </w:r>
      <w:proofErr w:type="spellStart"/>
      <w:r w:rsidR="00F044A1">
        <w:rPr>
          <w:rFonts w:ascii="Times New Roman" w:hAnsi="Times New Roman" w:cs="Times New Roman"/>
          <w:sz w:val="28"/>
          <w:szCs w:val="28"/>
        </w:rPr>
        <w:t>kr</w:t>
      </w:r>
      <w:proofErr w:type="spellEnd"/>
      <w:r w:rsidR="00B951F7">
        <w:rPr>
          <w:rFonts w:ascii="Times New Roman" w:hAnsi="Times New Roman" w:cs="Times New Roman"/>
          <w:sz w:val="28"/>
          <w:szCs w:val="28"/>
        </w:rPr>
        <w:t xml:space="preserve"> </w:t>
      </w:r>
      <w:r>
        <w:rPr>
          <w:rFonts w:ascii="Times New Roman" w:hAnsi="Times New Roman" w:cs="Times New Roman"/>
          <w:sz w:val="28"/>
          <w:szCs w:val="28"/>
        </w:rPr>
        <w:t>på denne konto. Nu er vi færdig</w:t>
      </w:r>
      <w:r w:rsidR="009A7BB7">
        <w:rPr>
          <w:rFonts w:ascii="Times New Roman" w:hAnsi="Times New Roman" w:cs="Times New Roman"/>
          <w:sz w:val="28"/>
          <w:szCs w:val="28"/>
        </w:rPr>
        <w:t>e</w:t>
      </w:r>
      <w:r>
        <w:rPr>
          <w:rFonts w:ascii="Times New Roman" w:hAnsi="Times New Roman" w:cs="Times New Roman"/>
          <w:sz w:val="28"/>
          <w:szCs w:val="28"/>
        </w:rPr>
        <w:t xml:space="preserve"> med opsparingen til </w:t>
      </w:r>
      <w:r w:rsidR="00B951F7">
        <w:rPr>
          <w:rFonts w:ascii="Times New Roman" w:hAnsi="Times New Roman" w:cs="Times New Roman"/>
          <w:sz w:val="28"/>
          <w:szCs w:val="28"/>
        </w:rPr>
        <w:t xml:space="preserve">fjernvarme og boilerrum så vi holder en lille pause. </w:t>
      </w:r>
      <w:r>
        <w:rPr>
          <w:rFonts w:ascii="Times New Roman" w:hAnsi="Times New Roman" w:cs="Times New Roman"/>
          <w:sz w:val="28"/>
          <w:szCs w:val="28"/>
        </w:rPr>
        <w:t xml:space="preserve"> </w:t>
      </w:r>
    </w:p>
    <w:p w:rsidR="00B951F7" w:rsidRDefault="00B951F7" w:rsidP="00E1337F">
      <w:pPr>
        <w:rPr>
          <w:rFonts w:ascii="Times New Roman" w:hAnsi="Times New Roman" w:cs="Times New Roman"/>
          <w:sz w:val="28"/>
          <w:szCs w:val="28"/>
        </w:rPr>
      </w:pPr>
      <w:r>
        <w:rPr>
          <w:rFonts w:ascii="Times New Roman" w:hAnsi="Times New Roman" w:cs="Times New Roman"/>
          <w:sz w:val="28"/>
          <w:szCs w:val="28"/>
        </w:rPr>
        <w:t xml:space="preserve">Den store post er i øvrigt vandafgiften. Den </w:t>
      </w:r>
      <w:proofErr w:type="spellStart"/>
      <w:r>
        <w:rPr>
          <w:rFonts w:ascii="Times New Roman" w:hAnsi="Times New Roman" w:cs="Times New Roman"/>
          <w:sz w:val="28"/>
          <w:szCs w:val="28"/>
        </w:rPr>
        <w:t>rutscher</w:t>
      </w:r>
      <w:proofErr w:type="spellEnd"/>
      <w:r>
        <w:rPr>
          <w:rFonts w:ascii="Times New Roman" w:hAnsi="Times New Roman" w:cs="Times New Roman"/>
          <w:sz w:val="28"/>
          <w:szCs w:val="28"/>
        </w:rPr>
        <w:t xml:space="preserve"> lidt op og ned og i år har den taget den store tur opad. Vi ligger meget højt i vandforbruget, </w:t>
      </w:r>
      <w:r w:rsidR="00AC2359">
        <w:rPr>
          <w:rFonts w:ascii="Times New Roman" w:hAnsi="Times New Roman" w:cs="Times New Roman"/>
          <w:sz w:val="28"/>
          <w:szCs w:val="28"/>
        </w:rPr>
        <w:t>så vidt vi kan se 33 % over det almindelige forbrug for bebyggelser af vores art, så</w:t>
      </w:r>
      <w:r>
        <w:rPr>
          <w:rFonts w:ascii="Times New Roman" w:hAnsi="Times New Roman" w:cs="Times New Roman"/>
          <w:sz w:val="28"/>
          <w:szCs w:val="28"/>
        </w:rPr>
        <w:t xml:space="preserve"> det indgår i bestyrelsens overvejelser hvad vi kan gøre. De øvrige store udgifter som renter og afdrag på lån, ejendomsskater og renovation kan vi ikke gøre noget ved. </w:t>
      </w:r>
    </w:p>
    <w:p w:rsidR="00660BE6" w:rsidRDefault="00660BE6" w:rsidP="00E1337F">
      <w:pPr>
        <w:rPr>
          <w:rFonts w:ascii="Times New Roman" w:hAnsi="Times New Roman" w:cs="Times New Roman"/>
          <w:sz w:val="28"/>
          <w:szCs w:val="28"/>
        </w:rPr>
      </w:pPr>
    </w:p>
    <w:p w:rsidR="00660BE6" w:rsidRDefault="00660BE6" w:rsidP="00E1337F">
      <w:pPr>
        <w:rPr>
          <w:rFonts w:ascii="Times New Roman" w:hAnsi="Times New Roman" w:cs="Times New Roman"/>
          <w:sz w:val="28"/>
          <w:szCs w:val="28"/>
        </w:rPr>
      </w:pPr>
      <w:r>
        <w:rPr>
          <w:rFonts w:ascii="Times New Roman" w:hAnsi="Times New Roman" w:cs="Times New Roman"/>
          <w:sz w:val="28"/>
          <w:szCs w:val="28"/>
        </w:rPr>
        <w:t>Ændringen kan også fremstilles i dette diagram</w:t>
      </w:r>
    </w:p>
    <w:p w:rsidR="00660BE6" w:rsidRDefault="00660BE6" w:rsidP="00E1337F">
      <w:pPr>
        <w:rPr>
          <w:rFonts w:ascii="Times New Roman" w:hAnsi="Times New Roman" w:cs="Times New Roman"/>
          <w:sz w:val="28"/>
          <w:szCs w:val="28"/>
        </w:rPr>
      </w:pPr>
      <w:r w:rsidRPr="00660BE6">
        <w:rPr>
          <w:rFonts w:ascii="Times New Roman" w:hAnsi="Times New Roman" w:cs="Times New Roman"/>
          <w:b/>
          <w:sz w:val="28"/>
          <w:szCs w:val="28"/>
        </w:rPr>
        <w:t>Figur 2. Budgetstigninger på hovedkategorier.</w:t>
      </w:r>
      <w:r>
        <w:rPr>
          <w:rFonts w:ascii="Times New Roman" w:hAnsi="Times New Roman" w:cs="Times New Roman"/>
          <w:sz w:val="28"/>
          <w:szCs w:val="28"/>
        </w:rPr>
        <w:t xml:space="preserve"> </w:t>
      </w:r>
    </w:p>
    <w:p w:rsidR="00660BE6" w:rsidRDefault="009A7BB7" w:rsidP="00E1337F">
      <w:pPr>
        <w:rPr>
          <w:rFonts w:ascii="Times New Roman" w:hAnsi="Times New Roman" w:cs="Times New Roman"/>
          <w:sz w:val="28"/>
          <w:szCs w:val="28"/>
        </w:rPr>
      </w:pPr>
      <w:r>
        <w:rPr>
          <w:noProof/>
          <w:lang w:eastAsia="da-DK"/>
        </w:rPr>
        <w:drawing>
          <wp:inline distT="0" distB="0" distL="0" distR="0" wp14:anchorId="5B1562AC" wp14:editId="5E7754FF">
            <wp:extent cx="5667375" cy="279082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0BE6" w:rsidRDefault="00660BE6" w:rsidP="00E1337F">
      <w:pPr>
        <w:rPr>
          <w:rFonts w:ascii="Times New Roman" w:hAnsi="Times New Roman" w:cs="Times New Roman"/>
          <w:sz w:val="28"/>
          <w:szCs w:val="28"/>
        </w:rPr>
      </w:pPr>
      <w:r>
        <w:rPr>
          <w:rFonts w:ascii="Times New Roman" w:hAnsi="Times New Roman" w:cs="Times New Roman"/>
          <w:sz w:val="28"/>
          <w:szCs w:val="28"/>
        </w:rPr>
        <w:t xml:space="preserve">For at I kan følge med i udviklingen er der til sidst vist udviklingen i budget de sidste 5 år. </w:t>
      </w:r>
    </w:p>
    <w:p w:rsidR="00660BE6" w:rsidRDefault="00660BE6" w:rsidP="00E1337F">
      <w:pPr>
        <w:rPr>
          <w:rFonts w:ascii="Times New Roman" w:hAnsi="Times New Roman" w:cs="Times New Roman"/>
          <w:b/>
          <w:sz w:val="28"/>
          <w:szCs w:val="28"/>
        </w:rPr>
      </w:pPr>
      <w:r w:rsidRPr="00660BE6">
        <w:rPr>
          <w:rFonts w:ascii="Times New Roman" w:hAnsi="Times New Roman" w:cs="Times New Roman"/>
          <w:b/>
          <w:sz w:val="28"/>
          <w:szCs w:val="28"/>
        </w:rPr>
        <w:t xml:space="preserve">Figur 3. Budgetstigninger de sidste 5 år på hovedgrupper. </w:t>
      </w:r>
      <w:r>
        <w:rPr>
          <w:noProof/>
          <w:lang w:eastAsia="da-DK"/>
        </w:rPr>
        <w:drawing>
          <wp:inline distT="0" distB="0" distL="0" distR="0" wp14:anchorId="5D7F8271" wp14:editId="6F84BFEC">
            <wp:extent cx="6120130" cy="2975917"/>
            <wp:effectExtent l="0" t="0" r="13970" b="1524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44A1" w:rsidRDefault="00F044A1" w:rsidP="00E1337F">
      <w:pPr>
        <w:rPr>
          <w:rFonts w:ascii="Times New Roman" w:hAnsi="Times New Roman" w:cs="Times New Roman"/>
          <w:b/>
          <w:sz w:val="28"/>
          <w:szCs w:val="28"/>
        </w:rPr>
      </w:pPr>
    </w:p>
    <w:p w:rsidR="008E0B2A" w:rsidRDefault="00F044A1" w:rsidP="00F044A1">
      <w:pPr>
        <w:pStyle w:val="Listeafsnit"/>
        <w:numPr>
          <w:ilvl w:val="0"/>
          <w:numId w:val="3"/>
        </w:numPr>
        <w:rPr>
          <w:rFonts w:ascii="Times New Roman" w:hAnsi="Times New Roman" w:cs="Times New Roman"/>
          <w:b/>
          <w:sz w:val="28"/>
          <w:szCs w:val="28"/>
        </w:rPr>
      </w:pPr>
      <w:r>
        <w:rPr>
          <w:rFonts w:ascii="Times New Roman" w:hAnsi="Times New Roman" w:cs="Times New Roman"/>
          <w:b/>
          <w:sz w:val="28"/>
          <w:szCs w:val="28"/>
        </w:rPr>
        <w:lastRenderedPageBreak/>
        <w:t>Regnskab</w:t>
      </w:r>
      <w:r w:rsidR="009A7BB7">
        <w:rPr>
          <w:rFonts w:ascii="Times New Roman" w:hAnsi="Times New Roman" w:cs="Times New Roman"/>
          <w:b/>
          <w:sz w:val="28"/>
          <w:szCs w:val="28"/>
        </w:rPr>
        <w:t>.</w:t>
      </w:r>
    </w:p>
    <w:p w:rsidR="009A7BB7" w:rsidRPr="009A7BB7" w:rsidRDefault="009A7BB7" w:rsidP="009A7BB7">
      <w:pPr>
        <w:rPr>
          <w:rFonts w:ascii="Times New Roman" w:hAnsi="Times New Roman" w:cs="Times New Roman"/>
          <w:sz w:val="28"/>
          <w:szCs w:val="28"/>
        </w:rPr>
      </w:pPr>
      <w:r w:rsidRPr="009A7BB7">
        <w:rPr>
          <w:rFonts w:ascii="Times New Roman" w:hAnsi="Times New Roman" w:cs="Times New Roman"/>
          <w:sz w:val="28"/>
          <w:szCs w:val="28"/>
        </w:rPr>
        <w:t>Regnskabet kan vises i sammentrængt form i nedenstående figur.</w:t>
      </w:r>
    </w:p>
    <w:p w:rsidR="009A7BB7" w:rsidRDefault="009A7BB7" w:rsidP="009A7BB7">
      <w:pPr>
        <w:rPr>
          <w:rFonts w:ascii="Times New Roman" w:hAnsi="Times New Roman" w:cs="Times New Roman"/>
          <w:b/>
          <w:sz w:val="28"/>
          <w:szCs w:val="28"/>
        </w:rPr>
      </w:pPr>
    </w:p>
    <w:p w:rsidR="009A7BB7" w:rsidRDefault="009A7BB7" w:rsidP="009A7BB7">
      <w:pPr>
        <w:rPr>
          <w:rFonts w:ascii="Times New Roman" w:hAnsi="Times New Roman" w:cs="Times New Roman"/>
          <w:b/>
          <w:sz w:val="28"/>
          <w:szCs w:val="28"/>
        </w:rPr>
      </w:pPr>
      <w:r>
        <w:rPr>
          <w:rFonts w:ascii="Times New Roman" w:hAnsi="Times New Roman" w:cs="Times New Roman"/>
          <w:b/>
          <w:sz w:val="28"/>
          <w:szCs w:val="28"/>
        </w:rPr>
        <w:t xml:space="preserve">Figur 4. Afvigelser i regnskab </w:t>
      </w:r>
      <w:proofErr w:type="gramStart"/>
      <w:r>
        <w:rPr>
          <w:rFonts w:ascii="Times New Roman" w:hAnsi="Times New Roman" w:cs="Times New Roman"/>
          <w:b/>
          <w:sz w:val="28"/>
          <w:szCs w:val="28"/>
        </w:rPr>
        <w:t>20111</w:t>
      </w:r>
      <w:proofErr w:type="gramEnd"/>
      <w:r>
        <w:rPr>
          <w:rFonts w:ascii="Times New Roman" w:hAnsi="Times New Roman" w:cs="Times New Roman"/>
          <w:b/>
          <w:sz w:val="28"/>
          <w:szCs w:val="28"/>
        </w:rPr>
        <w:t xml:space="preserve">-2012 på mere end 20.000 kr. </w:t>
      </w:r>
    </w:p>
    <w:p w:rsidR="009A7BB7" w:rsidRPr="009A7BB7" w:rsidRDefault="009A7BB7" w:rsidP="009A7BB7">
      <w:pPr>
        <w:rPr>
          <w:rFonts w:ascii="Times New Roman" w:hAnsi="Times New Roman" w:cs="Times New Roman"/>
          <w:b/>
          <w:sz w:val="28"/>
          <w:szCs w:val="28"/>
        </w:rPr>
      </w:pPr>
      <w:r>
        <w:rPr>
          <w:noProof/>
          <w:lang w:eastAsia="da-DK"/>
        </w:rPr>
        <w:drawing>
          <wp:inline distT="0" distB="0" distL="0" distR="0" wp14:anchorId="2FF87341" wp14:editId="02AF17B6">
            <wp:extent cx="6120130" cy="3929109"/>
            <wp:effectExtent l="0" t="0" r="13970" b="1460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0B2A" w:rsidRDefault="008E0B2A" w:rsidP="00E1337F">
      <w:pPr>
        <w:rPr>
          <w:rFonts w:ascii="Times New Roman" w:hAnsi="Times New Roman" w:cs="Times New Roman"/>
          <w:b/>
          <w:sz w:val="28"/>
          <w:szCs w:val="28"/>
        </w:rPr>
      </w:pPr>
    </w:p>
    <w:p w:rsidR="009A7BB7" w:rsidRDefault="009A7BB7" w:rsidP="009A7BB7">
      <w:pPr>
        <w:rPr>
          <w:sz w:val="24"/>
          <w:szCs w:val="24"/>
        </w:rPr>
      </w:pPr>
      <w:r>
        <w:rPr>
          <w:b/>
          <w:noProof/>
          <w:color w:val="FF0000"/>
          <w:sz w:val="24"/>
          <w:szCs w:val="24"/>
          <w:lang w:eastAsia="da-DK"/>
        </w:rPr>
        <w:t>Konklusion : Overskud på ca. 75.000 kr. Skyldes væsentligt større renteindtægter på 160.000 kr. som vil formindskes når vi køber boilerrum/fjernvarme. Grund til opmærksomhed på den økonomiske situation</w:t>
      </w:r>
      <w:r>
        <w:rPr>
          <w:noProof/>
          <w:sz w:val="24"/>
          <w:szCs w:val="24"/>
          <w:lang w:eastAsia="da-DK"/>
        </w:rPr>
        <w:t xml:space="preserve">.          </w:t>
      </w:r>
    </w:p>
    <w:p w:rsidR="009A7BB7" w:rsidRDefault="009A7BB7">
      <w:pPr>
        <w:rPr>
          <w:rFonts w:ascii="Times New Roman" w:hAnsi="Times New Roman" w:cs="Times New Roman"/>
          <w:b/>
          <w:sz w:val="28"/>
          <w:szCs w:val="28"/>
        </w:rPr>
      </w:pPr>
      <w:r>
        <w:rPr>
          <w:rFonts w:ascii="Times New Roman" w:hAnsi="Times New Roman" w:cs="Times New Roman"/>
          <w:b/>
          <w:sz w:val="28"/>
          <w:szCs w:val="28"/>
        </w:rPr>
        <w:br w:type="page"/>
      </w:r>
    </w:p>
    <w:p w:rsidR="009A7BB7" w:rsidRDefault="009A7BB7" w:rsidP="00E1337F">
      <w:pPr>
        <w:rPr>
          <w:rFonts w:ascii="Times New Roman" w:hAnsi="Times New Roman" w:cs="Times New Roman"/>
          <w:b/>
          <w:sz w:val="28"/>
          <w:szCs w:val="28"/>
        </w:rPr>
      </w:pPr>
    </w:p>
    <w:p w:rsidR="00B41003" w:rsidRDefault="00B41003" w:rsidP="00E1337F">
      <w:pPr>
        <w:rPr>
          <w:rFonts w:ascii="Times New Roman" w:hAnsi="Times New Roman" w:cs="Times New Roman"/>
          <w:b/>
          <w:sz w:val="28"/>
          <w:szCs w:val="28"/>
        </w:rPr>
      </w:pPr>
    </w:p>
    <w:p w:rsidR="008E0B2A" w:rsidRDefault="008E0B2A" w:rsidP="008E0B2A">
      <w:pPr>
        <w:pStyle w:val="Listeafsnit"/>
        <w:numPr>
          <w:ilvl w:val="0"/>
          <w:numId w:val="1"/>
        </w:numPr>
        <w:rPr>
          <w:rFonts w:ascii="Times New Roman" w:hAnsi="Times New Roman" w:cs="Times New Roman"/>
          <w:b/>
          <w:color w:val="0070C0"/>
          <w:sz w:val="28"/>
          <w:szCs w:val="28"/>
        </w:rPr>
      </w:pPr>
      <w:r w:rsidRPr="008E0B2A">
        <w:rPr>
          <w:rFonts w:ascii="Times New Roman" w:hAnsi="Times New Roman" w:cs="Times New Roman"/>
          <w:b/>
          <w:color w:val="0070C0"/>
          <w:sz w:val="28"/>
          <w:szCs w:val="28"/>
        </w:rPr>
        <w:t>Klager</w:t>
      </w:r>
      <w:r>
        <w:rPr>
          <w:rFonts w:ascii="Times New Roman" w:hAnsi="Times New Roman" w:cs="Times New Roman"/>
          <w:b/>
          <w:color w:val="0070C0"/>
          <w:sz w:val="28"/>
          <w:szCs w:val="28"/>
        </w:rPr>
        <w:t>.</w:t>
      </w:r>
    </w:p>
    <w:p w:rsidR="008E0B2A" w:rsidRDefault="008E0B2A" w:rsidP="008E0B2A">
      <w:pPr>
        <w:rPr>
          <w:rFonts w:ascii="Times New Roman" w:hAnsi="Times New Roman" w:cs="Times New Roman"/>
          <w:sz w:val="28"/>
          <w:szCs w:val="28"/>
        </w:rPr>
      </w:pPr>
      <w:r w:rsidRPr="008E0B2A">
        <w:rPr>
          <w:rFonts w:ascii="Times New Roman" w:hAnsi="Times New Roman" w:cs="Times New Roman"/>
          <w:sz w:val="28"/>
          <w:szCs w:val="28"/>
        </w:rPr>
        <w:t>Der har været</w:t>
      </w:r>
      <w:r>
        <w:rPr>
          <w:rFonts w:ascii="Times New Roman" w:hAnsi="Times New Roman" w:cs="Times New Roman"/>
          <w:sz w:val="28"/>
          <w:szCs w:val="28"/>
        </w:rPr>
        <w:t xml:space="preserve"> flere større begivenheder, vi ikke rigtig er vant til. En beboer havde opbevaret ammunition i sit kælderrum og lejlighed. Efter en brand i kælderrummet ransagede politiet og selskab og </w:t>
      </w:r>
      <w:r w:rsidR="0092106E">
        <w:rPr>
          <w:rFonts w:ascii="Times New Roman" w:hAnsi="Times New Roman" w:cs="Times New Roman"/>
          <w:sz w:val="28"/>
          <w:szCs w:val="28"/>
        </w:rPr>
        <w:t xml:space="preserve">bestyrelsen tog skridt til at få ham ud af lejligheden. Han sagde selv op men sagen endte med 4 måneders ubetinget fængsel og 14 måneders betinget. En meget alvorlig sag der kunne være endt grusomt galt. </w:t>
      </w:r>
    </w:p>
    <w:p w:rsidR="0092106E" w:rsidRDefault="0092106E" w:rsidP="008E0B2A">
      <w:pPr>
        <w:rPr>
          <w:rFonts w:ascii="Times New Roman" w:hAnsi="Times New Roman" w:cs="Times New Roman"/>
          <w:sz w:val="28"/>
          <w:szCs w:val="28"/>
        </w:rPr>
      </w:pPr>
      <w:r>
        <w:rPr>
          <w:rFonts w:ascii="Times New Roman" w:hAnsi="Times New Roman" w:cs="Times New Roman"/>
          <w:sz w:val="28"/>
          <w:szCs w:val="28"/>
        </w:rPr>
        <w:t>I en anden opgang gik en anden mand amok og truede med kniv.</w:t>
      </w:r>
      <w:r w:rsidR="00F044A1">
        <w:rPr>
          <w:rFonts w:ascii="Times New Roman" w:hAnsi="Times New Roman" w:cs="Times New Roman"/>
          <w:sz w:val="28"/>
          <w:szCs w:val="28"/>
        </w:rPr>
        <w:t xml:space="preserve"> Vi er her meget kede af, at selskabet ikke mente at vi kunne gøre noget. De 7 andre lejligheder skal altså leve med at en beboer på grov vis overtræder både husorden og lovgivning uden at vi kan gøre noget. Principielt betyder det at beboernes ret til at gå i fred i deres egen bolig er truet. Her mangler vi opbakning fra selskabet. </w:t>
      </w:r>
    </w:p>
    <w:p w:rsidR="0092106E" w:rsidRDefault="0092106E" w:rsidP="008E0B2A">
      <w:pPr>
        <w:rPr>
          <w:rFonts w:ascii="Times New Roman" w:hAnsi="Times New Roman" w:cs="Times New Roman"/>
          <w:sz w:val="28"/>
          <w:szCs w:val="28"/>
        </w:rPr>
      </w:pPr>
      <w:r>
        <w:rPr>
          <w:rFonts w:ascii="Times New Roman" w:hAnsi="Times New Roman" w:cs="Times New Roman"/>
          <w:sz w:val="28"/>
          <w:szCs w:val="28"/>
        </w:rPr>
        <w:t xml:space="preserve">Udover dette er der klager over hunde (ikke så mange) og klager over støj om natten. </w:t>
      </w:r>
    </w:p>
    <w:p w:rsidR="0092106E" w:rsidRDefault="0092106E" w:rsidP="008E0B2A">
      <w:pPr>
        <w:rPr>
          <w:rFonts w:ascii="Times New Roman" w:hAnsi="Times New Roman" w:cs="Times New Roman"/>
          <w:color w:val="FF0000"/>
          <w:sz w:val="28"/>
          <w:szCs w:val="28"/>
        </w:rPr>
      </w:pPr>
      <w:r w:rsidRPr="0092106E">
        <w:rPr>
          <w:rFonts w:ascii="Times New Roman" w:hAnsi="Times New Roman" w:cs="Times New Roman"/>
          <w:color w:val="FF0000"/>
          <w:sz w:val="28"/>
          <w:szCs w:val="28"/>
        </w:rPr>
        <w:t xml:space="preserve">Resume: </w:t>
      </w:r>
      <w:r>
        <w:rPr>
          <w:rFonts w:ascii="Times New Roman" w:hAnsi="Times New Roman" w:cs="Times New Roman"/>
          <w:color w:val="FF0000"/>
          <w:sz w:val="28"/>
          <w:szCs w:val="28"/>
        </w:rPr>
        <w:t>T</w:t>
      </w:r>
      <w:r w:rsidRPr="0092106E">
        <w:rPr>
          <w:rFonts w:ascii="Times New Roman" w:hAnsi="Times New Roman" w:cs="Times New Roman"/>
          <w:color w:val="FF0000"/>
          <w:sz w:val="28"/>
          <w:szCs w:val="28"/>
        </w:rPr>
        <w:t>o alvorlige straffelovsovertrædelser og flere ”almindelige klager”</w:t>
      </w:r>
    </w:p>
    <w:p w:rsidR="0092106E" w:rsidRPr="00B41003" w:rsidRDefault="0092106E" w:rsidP="0092106E">
      <w:pPr>
        <w:pStyle w:val="Listeafsnit"/>
        <w:numPr>
          <w:ilvl w:val="0"/>
          <w:numId w:val="1"/>
        </w:numPr>
        <w:rPr>
          <w:rFonts w:ascii="Times New Roman" w:hAnsi="Times New Roman" w:cs="Times New Roman"/>
          <w:color w:val="0070C0"/>
          <w:sz w:val="28"/>
          <w:szCs w:val="28"/>
        </w:rPr>
      </w:pPr>
      <w:r w:rsidRPr="00B41003">
        <w:rPr>
          <w:rFonts w:ascii="Times New Roman" w:hAnsi="Times New Roman" w:cs="Times New Roman"/>
          <w:color w:val="0070C0"/>
          <w:sz w:val="28"/>
          <w:szCs w:val="28"/>
        </w:rPr>
        <w:t>Renovation.</w:t>
      </w:r>
    </w:p>
    <w:p w:rsidR="0092106E" w:rsidRDefault="0038470C" w:rsidP="0092106E">
      <w:pPr>
        <w:rPr>
          <w:rFonts w:ascii="Times New Roman" w:hAnsi="Times New Roman" w:cs="Times New Roman"/>
          <w:sz w:val="28"/>
          <w:szCs w:val="28"/>
        </w:rPr>
      </w:pPr>
      <w:r w:rsidRPr="0038470C">
        <w:rPr>
          <w:rFonts w:ascii="Times New Roman" w:hAnsi="Times New Roman" w:cs="Times New Roman"/>
          <w:sz w:val="28"/>
          <w:szCs w:val="28"/>
        </w:rPr>
        <w:t xml:space="preserve">Bestyrelsen </w:t>
      </w:r>
      <w:r>
        <w:rPr>
          <w:rFonts w:ascii="Times New Roman" w:hAnsi="Times New Roman" w:cs="Times New Roman"/>
          <w:sz w:val="28"/>
          <w:szCs w:val="28"/>
        </w:rPr>
        <w:t xml:space="preserve">har flere gange drøftet renovation og containerpladsen. Vores foreløbige resultat har været, at vi ikke skulle gøre noget, da varmemester mente at kunne håndtere problemet og der ikke var udgifter på pladsen. </w:t>
      </w:r>
    </w:p>
    <w:p w:rsidR="0038470C" w:rsidRPr="00752E72" w:rsidRDefault="0038470C" w:rsidP="0038470C">
      <w:pPr>
        <w:pStyle w:val="Listeafsnit"/>
        <w:numPr>
          <w:ilvl w:val="1"/>
          <w:numId w:val="1"/>
        </w:numPr>
        <w:rPr>
          <w:rFonts w:ascii="Times New Roman" w:hAnsi="Times New Roman" w:cs="Times New Roman"/>
          <w:color w:val="0070C0"/>
          <w:sz w:val="28"/>
          <w:szCs w:val="28"/>
        </w:rPr>
      </w:pPr>
      <w:r w:rsidRPr="00752E72">
        <w:rPr>
          <w:rFonts w:ascii="Times New Roman" w:hAnsi="Times New Roman" w:cs="Times New Roman"/>
          <w:color w:val="0070C0"/>
          <w:sz w:val="28"/>
          <w:szCs w:val="28"/>
        </w:rPr>
        <w:t>Storskrald.</w:t>
      </w:r>
    </w:p>
    <w:p w:rsidR="0038470C" w:rsidRDefault="0038470C" w:rsidP="0092106E">
      <w:pPr>
        <w:rPr>
          <w:rFonts w:ascii="Times New Roman" w:hAnsi="Times New Roman" w:cs="Times New Roman"/>
          <w:sz w:val="28"/>
          <w:szCs w:val="28"/>
        </w:rPr>
      </w:pPr>
      <w:r>
        <w:rPr>
          <w:rFonts w:ascii="Times New Roman" w:hAnsi="Times New Roman" w:cs="Times New Roman"/>
          <w:sz w:val="28"/>
          <w:szCs w:val="28"/>
        </w:rPr>
        <w:t xml:space="preserve">Vedrørende storskrald betaler vi for afhentning via en kommunal afgift som vi ikke kan slippe for og vi betaler ikke ekstra hvis der kommer mere skrald. Der er 3 mulige modeller oplyser kommunen. </w:t>
      </w:r>
    </w:p>
    <w:p w:rsidR="0038470C" w:rsidRPr="004C288E" w:rsidRDefault="0038470C" w:rsidP="0038470C">
      <w:pPr>
        <w:pStyle w:val="Listeafsnit"/>
        <w:numPr>
          <w:ilvl w:val="0"/>
          <w:numId w:val="4"/>
        </w:numPr>
        <w:rPr>
          <w:rFonts w:ascii="Times New Roman" w:hAnsi="Times New Roman" w:cs="Times New Roman"/>
          <w:color w:val="7030A0"/>
          <w:sz w:val="28"/>
          <w:szCs w:val="28"/>
        </w:rPr>
      </w:pPr>
      <w:r w:rsidRPr="004C288E">
        <w:rPr>
          <w:rFonts w:ascii="Times New Roman" w:hAnsi="Times New Roman" w:cs="Times New Roman"/>
          <w:color w:val="7030A0"/>
          <w:sz w:val="28"/>
          <w:szCs w:val="28"/>
        </w:rPr>
        <w:t xml:space="preserve">Store containere som i dag. </w:t>
      </w:r>
    </w:p>
    <w:p w:rsidR="0038470C" w:rsidRDefault="0038470C" w:rsidP="0038470C">
      <w:pPr>
        <w:rPr>
          <w:rFonts w:ascii="Times New Roman" w:hAnsi="Times New Roman" w:cs="Times New Roman"/>
          <w:sz w:val="28"/>
          <w:szCs w:val="28"/>
        </w:rPr>
      </w:pPr>
      <w:r>
        <w:rPr>
          <w:rFonts w:ascii="Times New Roman" w:hAnsi="Times New Roman" w:cs="Times New Roman"/>
          <w:sz w:val="28"/>
          <w:szCs w:val="28"/>
        </w:rPr>
        <w:t xml:space="preserve">Afhentes efter behov og vi betaler i dag ikke ekstra hvis der er mere for eksempel udefra. </w:t>
      </w:r>
    </w:p>
    <w:p w:rsidR="0038470C" w:rsidRDefault="0038470C" w:rsidP="0038470C">
      <w:pPr>
        <w:pStyle w:val="Listeafsnit"/>
        <w:numPr>
          <w:ilvl w:val="0"/>
          <w:numId w:val="4"/>
        </w:numPr>
        <w:rPr>
          <w:rFonts w:ascii="Times New Roman" w:hAnsi="Times New Roman" w:cs="Times New Roman"/>
          <w:sz w:val="28"/>
          <w:szCs w:val="28"/>
        </w:rPr>
      </w:pPr>
      <w:r w:rsidRPr="004C288E">
        <w:rPr>
          <w:rFonts w:ascii="Times New Roman" w:hAnsi="Times New Roman" w:cs="Times New Roman"/>
          <w:color w:val="7030A0"/>
          <w:sz w:val="28"/>
          <w:szCs w:val="28"/>
        </w:rPr>
        <w:t>En gård til skrald hvor der kan afhentes hver anden uge</w:t>
      </w:r>
      <w:r>
        <w:rPr>
          <w:rFonts w:ascii="Times New Roman" w:hAnsi="Times New Roman" w:cs="Times New Roman"/>
          <w:sz w:val="28"/>
          <w:szCs w:val="28"/>
        </w:rPr>
        <w:t xml:space="preserve">. </w:t>
      </w:r>
    </w:p>
    <w:p w:rsidR="00966929" w:rsidRDefault="00966929" w:rsidP="00966929">
      <w:pPr>
        <w:rPr>
          <w:rFonts w:ascii="Times New Roman" w:hAnsi="Times New Roman" w:cs="Times New Roman"/>
          <w:sz w:val="28"/>
          <w:szCs w:val="28"/>
        </w:rPr>
      </w:pPr>
      <w:r>
        <w:rPr>
          <w:rFonts w:ascii="Times New Roman" w:hAnsi="Times New Roman" w:cs="Times New Roman"/>
          <w:sz w:val="28"/>
          <w:szCs w:val="28"/>
        </w:rPr>
        <w:t xml:space="preserve">Forudsætter at ejendomsfunktionærer går ind og sorterer. </w:t>
      </w:r>
    </w:p>
    <w:p w:rsidR="00966929" w:rsidRDefault="00966929" w:rsidP="00966929">
      <w:pPr>
        <w:pStyle w:val="Listeafsnit"/>
        <w:numPr>
          <w:ilvl w:val="0"/>
          <w:numId w:val="4"/>
        </w:numPr>
        <w:rPr>
          <w:rFonts w:ascii="Times New Roman" w:hAnsi="Times New Roman" w:cs="Times New Roman"/>
          <w:sz w:val="28"/>
          <w:szCs w:val="28"/>
        </w:rPr>
      </w:pPr>
      <w:r w:rsidRPr="004C288E">
        <w:rPr>
          <w:rFonts w:ascii="Times New Roman" w:hAnsi="Times New Roman" w:cs="Times New Roman"/>
          <w:color w:val="7030A0"/>
          <w:sz w:val="28"/>
          <w:szCs w:val="28"/>
        </w:rPr>
        <w:lastRenderedPageBreak/>
        <w:t>Ved vej ordning</w:t>
      </w:r>
      <w:r>
        <w:rPr>
          <w:rFonts w:ascii="Times New Roman" w:hAnsi="Times New Roman" w:cs="Times New Roman"/>
          <w:sz w:val="28"/>
          <w:szCs w:val="28"/>
        </w:rPr>
        <w:t>.</w:t>
      </w:r>
    </w:p>
    <w:p w:rsidR="00966929" w:rsidRDefault="00966929" w:rsidP="00966929">
      <w:pPr>
        <w:rPr>
          <w:rFonts w:ascii="Times New Roman" w:hAnsi="Times New Roman" w:cs="Times New Roman"/>
          <w:sz w:val="28"/>
          <w:szCs w:val="28"/>
        </w:rPr>
      </w:pPr>
      <w:r>
        <w:rPr>
          <w:rFonts w:ascii="Times New Roman" w:hAnsi="Times New Roman" w:cs="Times New Roman"/>
          <w:sz w:val="28"/>
          <w:szCs w:val="28"/>
        </w:rPr>
        <w:t xml:space="preserve">Der afhentes hver 4 uge og den anbefales ikke af kommunen på grund af mulighed for rod. </w:t>
      </w:r>
    </w:p>
    <w:p w:rsidR="00752E72" w:rsidRPr="00B41003" w:rsidRDefault="00DD71CD" w:rsidP="00752E72">
      <w:pPr>
        <w:pStyle w:val="Listeafsnit"/>
        <w:numPr>
          <w:ilvl w:val="1"/>
          <w:numId w:val="1"/>
        </w:numPr>
        <w:rPr>
          <w:rFonts w:ascii="Times New Roman" w:hAnsi="Times New Roman" w:cs="Times New Roman"/>
          <w:color w:val="0070C0"/>
          <w:sz w:val="28"/>
          <w:szCs w:val="28"/>
        </w:rPr>
      </w:pPr>
      <w:r>
        <w:rPr>
          <w:rFonts w:ascii="Times New Roman" w:hAnsi="Times New Roman" w:cs="Times New Roman"/>
          <w:color w:val="0070C0"/>
          <w:sz w:val="28"/>
          <w:szCs w:val="28"/>
        </w:rPr>
        <w:t>.</w:t>
      </w:r>
      <w:r w:rsidR="00AC2359">
        <w:rPr>
          <w:rFonts w:ascii="Times New Roman" w:hAnsi="Times New Roman" w:cs="Times New Roman"/>
          <w:color w:val="0070C0"/>
          <w:sz w:val="28"/>
          <w:szCs w:val="28"/>
        </w:rPr>
        <w:t xml:space="preserve"> </w:t>
      </w:r>
      <w:r w:rsidR="00752E72" w:rsidRPr="00B41003">
        <w:rPr>
          <w:rFonts w:ascii="Times New Roman" w:hAnsi="Times New Roman" w:cs="Times New Roman"/>
          <w:color w:val="0070C0"/>
          <w:sz w:val="28"/>
          <w:szCs w:val="28"/>
        </w:rPr>
        <w:t>Øvrigt affald.</w:t>
      </w:r>
    </w:p>
    <w:p w:rsidR="00966929" w:rsidRDefault="00752E72" w:rsidP="00966929">
      <w:pPr>
        <w:rPr>
          <w:rFonts w:ascii="Times New Roman" w:hAnsi="Times New Roman" w:cs="Times New Roman"/>
          <w:sz w:val="28"/>
          <w:szCs w:val="28"/>
        </w:rPr>
      </w:pPr>
      <w:r>
        <w:rPr>
          <w:rFonts w:ascii="Times New Roman" w:hAnsi="Times New Roman" w:cs="Times New Roman"/>
          <w:sz w:val="28"/>
          <w:szCs w:val="28"/>
        </w:rPr>
        <w:t>Her er vi lige starte</w:t>
      </w:r>
      <w:r w:rsidR="00AC2359">
        <w:rPr>
          <w:rFonts w:ascii="Times New Roman" w:hAnsi="Times New Roman" w:cs="Times New Roman"/>
          <w:sz w:val="28"/>
          <w:szCs w:val="28"/>
        </w:rPr>
        <w:t>t</w:t>
      </w:r>
      <w:r>
        <w:rPr>
          <w:rFonts w:ascii="Times New Roman" w:hAnsi="Times New Roman" w:cs="Times New Roman"/>
          <w:sz w:val="28"/>
          <w:szCs w:val="28"/>
        </w:rPr>
        <w:t xml:space="preserve">. Kommunen oplyser at man er opmærksom på at nogle containere er fyldte og at der skal afhentes. Varmemester og bestyrelse arbejder på ordning, der sikrer en bedre mulighed for sortering og en bedre beboerorientering. </w:t>
      </w:r>
    </w:p>
    <w:p w:rsidR="00AC2359" w:rsidRPr="00AC2359" w:rsidRDefault="00AC2359" w:rsidP="00AC2359">
      <w:pPr>
        <w:pStyle w:val="Listeafsnit"/>
        <w:numPr>
          <w:ilvl w:val="0"/>
          <w:numId w:val="1"/>
        </w:numPr>
        <w:rPr>
          <w:rFonts w:ascii="Times New Roman" w:hAnsi="Times New Roman" w:cs="Times New Roman"/>
          <w:color w:val="0070C0"/>
          <w:sz w:val="28"/>
          <w:szCs w:val="28"/>
        </w:rPr>
      </w:pPr>
      <w:r w:rsidRPr="00AC2359">
        <w:rPr>
          <w:rFonts w:ascii="Times New Roman" w:hAnsi="Times New Roman" w:cs="Times New Roman"/>
          <w:color w:val="0070C0"/>
          <w:sz w:val="28"/>
          <w:szCs w:val="28"/>
        </w:rPr>
        <w:t>Fester og aktiviteter</w:t>
      </w:r>
      <w:bookmarkStart w:id="0" w:name="_GoBack"/>
      <w:bookmarkEnd w:id="0"/>
      <w:r w:rsidR="009A7BB7">
        <w:rPr>
          <w:rFonts w:ascii="Times New Roman" w:hAnsi="Times New Roman" w:cs="Times New Roman"/>
          <w:color w:val="0070C0"/>
          <w:sz w:val="28"/>
          <w:szCs w:val="28"/>
        </w:rPr>
        <w:t>.</w:t>
      </w:r>
    </w:p>
    <w:p w:rsidR="00966929" w:rsidRDefault="00AC2359" w:rsidP="00966929">
      <w:pPr>
        <w:rPr>
          <w:rFonts w:ascii="Times New Roman" w:hAnsi="Times New Roman" w:cs="Times New Roman"/>
          <w:sz w:val="28"/>
          <w:szCs w:val="28"/>
        </w:rPr>
      </w:pPr>
      <w:r>
        <w:rPr>
          <w:rFonts w:ascii="Times New Roman" w:hAnsi="Times New Roman" w:cs="Times New Roman"/>
          <w:sz w:val="28"/>
          <w:szCs w:val="28"/>
        </w:rPr>
        <w:t>Som sædvanlig en god fastelavnsfest med 65 børn der deltog. Til understøttelse af fester og aktiviteter foreslår bestyrelsen, at der nedsættes et aktivitets og festudvalg, der i højere grad inddrager beboere i de fælles aktiviteter. Bortset fra fastelavnsfester er der reelt ingen fælles aktiviteter i Egeparken 1. Vi håber på at nogle beboere melder sig.</w:t>
      </w:r>
    </w:p>
    <w:p w:rsidR="00AC2359" w:rsidRPr="009A7BB7" w:rsidRDefault="00AC2359" w:rsidP="00AC2359">
      <w:pPr>
        <w:pStyle w:val="Listeafsnit"/>
        <w:numPr>
          <w:ilvl w:val="0"/>
          <w:numId w:val="1"/>
        </w:numPr>
        <w:rPr>
          <w:rFonts w:ascii="Times New Roman" w:hAnsi="Times New Roman" w:cs="Times New Roman"/>
          <w:b/>
          <w:color w:val="0070C0"/>
          <w:sz w:val="28"/>
          <w:szCs w:val="28"/>
        </w:rPr>
      </w:pPr>
      <w:r>
        <w:rPr>
          <w:rFonts w:ascii="Times New Roman" w:hAnsi="Times New Roman" w:cs="Times New Roman"/>
          <w:sz w:val="28"/>
          <w:szCs w:val="28"/>
        </w:rPr>
        <w:t xml:space="preserve"> </w:t>
      </w:r>
      <w:r w:rsidR="00B00638" w:rsidRPr="009A7BB7">
        <w:rPr>
          <w:rFonts w:ascii="Times New Roman" w:hAnsi="Times New Roman" w:cs="Times New Roman"/>
          <w:b/>
          <w:color w:val="0070C0"/>
          <w:sz w:val="28"/>
          <w:szCs w:val="28"/>
        </w:rPr>
        <w:t xml:space="preserve">Kommunikation. </w:t>
      </w:r>
    </w:p>
    <w:p w:rsidR="00F044A1" w:rsidRDefault="00B00638" w:rsidP="00B00638">
      <w:pPr>
        <w:rPr>
          <w:rFonts w:ascii="Times New Roman" w:hAnsi="Times New Roman" w:cs="Times New Roman"/>
          <w:sz w:val="28"/>
          <w:szCs w:val="28"/>
        </w:rPr>
      </w:pPr>
      <w:r>
        <w:rPr>
          <w:rFonts w:ascii="Times New Roman" w:hAnsi="Times New Roman" w:cs="Times New Roman"/>
          <w:sz w:val="28"/>
          <w:szCs w:val="28"/>
        </w:rPr>
        <w:t xml:space="preserve">Bestyrelsen er utilfreds med sin egen indsats i forhold til kommunikation til beboerne. Vi ønsker derfor at lave et nyhedsbrev der udkommer regelmæssigt.  Vi vil derfor i maj måned gå rundt og bede om jeres mailadresser og så udsende nyhedsbreve til dem der ønsker det. Det vil blive sendt </w:t>
      </w:r>
      <w:proofErr w:type="spellStart"/>
      <w:r>
        <w:rPr>
          <w:rFonts w:ascii="Times New Roman" w:hAnsi="Times New Roman" w:cs="Times New Roman"/>
          <w:sz w:val="28"/>
          <w:szCs w:val="28"/>
        </w:rPr>
        <w:t>bcc</w:t>
      </w:r>
      <w:proofErr w:type="spellEnd"/>
      <w:r>
        <w:rPr>
          <w:rFonts w:ascii="Times New Roman" w:hAnsi="Times New Roman" w:cs="Times New Roman"/>
          <w:sz w:val="28"/>
          <w:szCs w:val="28"/>
        </w:rPr>
        <w:t xml:space="preserve"> så andre ikke kan se jeres adresser. Der vil blive sørget for dem der ønsker nyhedsbrevet og ikke har </w:t>
      </w:r>
      <w:proofErr w:type="spellStart"/>
      <w:r>
        <w:rPr>
          <w:rFonts w:ascii="Times New Roman" w:hAnsi="Times New Roman" w:cs="Times New Roman"/>
          <w:sz w:val="28"/>
          <w:szCs w:val="28"/>
        </w:rPr>
        <w:t>emailadresser</w:t>
      </w:r>
      <w:proofErr w:type="spellEnd"/>
      <w:r>
        <w:rPr>
          <w:rFonts w:ascii="Times New Roman" w:hAnsi="Times New Roman" w:cs="Times New Roman"/>
          <w:sz w:val="28"/>
          <w:szCs w:val="28"/>
        </w:rPr>
        <w:t xml:space="preserve">. </w:t>
      </w:r>
    </w:p>
    <w:p w:rsidR="009A7BB7" w:rsidRDefault="009A7BB7" w:rsidP="00B00638">
      <w:pPr>
        <w:rPr>
          <w:rFonts w:ascii="Times New Roman" w:hAnsi="Times New Roman" w:cs="Times New Roman"/>
          <w:sz w:val="28"/>
          <w:szCs w:val="28"/>
        </w:rPr>
      </w:pPr>
    </w:p>
    <w:p w:rsidR="009A7BB7" w:rsidRPr="009A7BB7" w:rsidRDefault="009A7BB7" w:rsidP="009A7BB7">
      <w:pPr>
        <w:pStyle w:val="Listeafsnit"/>
        <w:numPr>
          <w:ilvl w:val="0"/>
          <w:numId w:val="1"/>
        </w:numPr>
        <w:rPr>
          <w:rFonts w:ascii="Times New Roman" w:hAnsi="Times New Roman" w:cs="Times New Roman"/>
          <w:color w:val="0070C0"/>
          <w:sz w:val="28"/>
          <w:szCs w:val="28"/>
        </w:rPr>
      </w:pPr>
      <w:r w:rsidRPr="009A7BB7">
        <w:rPr>
          <w:rFonts w:ascii="Times New Roman" w:hAnsi="Times New Roman" w:cs="Times New Roman"/>
          <w:color w:val="0070C0"/>
          <w:sz w:val="28"/>
          <w:szCs w:val="28"/>
        </w:rPr>
        <w:t>Køkkener.</w:t>
      </w:r>
    </w:p>
    <w:p w:rsidR="009A7BB7" w:rsidRPr="009A7BB7" w:rsidRDefault="009A7BB7" w:rsidP="009A7BB7">
      <w:pPr>
        <w:rPr>
          <w:rFonts w:ascii="Times New Roman" w:hAnsi="Times New Roman" w:cs="Times New Roman"/>
          <w:sz w:val="28"/>
          <w:szCs w:val="28"/>
        </w:rPr>
      </w:pPr>
      <w:r>
        <w:rPr>
          <w:rFonts w:ascii="Times New Roman" w:hAnsi="Times New Roman" w:cs="Times New Roman"/>
          <w:sz w:val="28"/>
          <w:szCs w:val="28"/>
        </w:rPr>
        <w:t xml:space="preserve">Endelig har vi af selskabet fået lov til at komme i gang med køkkeninstallationer ved fraflytning. Noget der blev vedtaget for 6 år siden på beboermøde. Nu er det oven i købet så godt at selskabet i beboerbladet synes det er en rigtig god ide. Ærgerligt at det tog så lang tid men godt vi er kommet i gang. </w:t>
      </w:r>
    </w:p>
    <w:p w:rsidR="00F044A1" w:rsidRDefault="00F044A1">
      <w:pPr>
        <w:rPr>
          <w:rFonts w:ascii="Times New Roman" w:hAnsi="Times New Roman" w:cs="Times New Roman"/>
          <w:sz w:val="28"/>
          <w:szCs w:val="28"/>
        </w:rPr>
      </w:pPr>
      <w:r>
        <w:rPr>
          <w:rFonts w:ascii="Times New Roman" w:hAnsi="Times New Roman" w:cs="Times New Roman"/>
          <w:sz w:val="28"/>
          <w:szCs w:val="28"/>
        </w:rPr>
        <w:br w:type="page"/>
      </w:r>
    </w:p>
    <w:p w:rsidR="00B00638" w:rsidRDefault="00B00638" w:rsidP="00B00638">
      <w:pPr>
        <w:rPr>
          <w:rFonts w:ascii="Times New Roman" w:hAnsi="Times New Roman" w:cs="Times New Roman"/>
          <w:sz w:val="28"/>
          <w:szCs w:val="28"/>
        </w:rPr>
      </w:pPr>
    </w:p>
    <w:p w:rsidR="00F044A1" w:rsidRDefault="00F044A1" w:rsidP="00B00638">
      <w:pPr>
        <w:rPr>
          <w:rFonts w:ascii="Times New Roman" w:hAnsi="Times New Roman" w:cs="Times New Roman"/>
          <w:sz w:val="28"/>
          <w:szCs w:val="28"/>
        </w:rPr>
      </w:pPr>
    </w:p>
    <w:p w:rsidR="00F044A1" w:rsidRPr="00F044A1" w:rsidRDefault="00F044A1" w:rsidP="00B00638">
      <w:pPr>
        <w:rPr>
          <w:rFonts w:ascii="Times New Roman" w:hAnsi="Times New Roman" w:cs="Times New Roman"/>
          <w:b/>
          <w:color w:val="FF0000"/>
          <w:sz w:val="36"/>
          <w:szCs w:val="36"/>
        </w:rPr>
      </w:pPr>
      <w:r w:rsidRPr="00F044A1">
        <w:rPr>
          <w:rFonts w:ascii="Times New Roman" w:hAnsi="Times New Roman" w:cs="Times New Roman"/>
          <w:b/>
          <w:color w:val="FF0000"/>
          <w:sz w:val="36"/>
          <w:szCs w:val="36"/>
        </w:rPr>
        <w:t>Bilag 1. Regnskab.</w:t>
      </w:r>
    </w:p>
    <w:p w:rsidR="00F044A1" w:rsidRDefault="00F044A1" w:rsidP="00B00638">
      <w:pPr>
        <w:rPr>
          <w:rFonts w:ascii="Times New Roman" w:hAnsi="Times New Roman" w:cs="Times New Roman"/>
          <w:sz w:val="28"/>
          <w:szCs w:val="28"/>
        </w:rPr>
      </w:pPr>
    </w:p>
    <w:p w:rsidR="00F044A1" w:rsidRDefault="00F044A1" w:rsidP="00F044A1">
      <w:pPr>
        <w:rPr>
          <w:sz w:val="28"/>
          <w:szCs w:val="28"/>
        </w:rPr>
      </w:pPr>
      <w:r>
        <w:t xml:space="preserve">                                                                                                                                                                          </w:t>
      </w:r>
      <w:r>
        <w:rPr>
          <w:sz w:val="28"/>
          <w:szCs w:val="28"/>
        </w:rPr>
        <w:t>9-01-2013</w:t>
      </w:r>
    </w:p>
    <w:p w:rsidR="00F044A1" w:rsidRDefault="00F044A1" w:rsidP="00F044A1">
      <w:pPr>
        <w:rPr>
          <w:b/>
          <w:color w:val="FF0000"/>
          <w:sz w:val="28"/>
          <w:szCs w:val="28"/>
        </w:rPr>
      </w:pPr>
      <w:r>
        <w:rPr>
          <w:b/>
          <w:color w:val="FF0000"/>
          <w:sz w:val="28"/>
          <w:szCs w:val="28"/>
        </w:rPr>
        <w:t>Regnskab 2011-2012</w:t>
      </w:r>
    </w:p>
    <w:p w:rsidR="00F044A1" w:rsidRDefault="00F044A1" w:rsidP="00F044A1">
      <w:pPr>
        <w:rPr>
          <w:sz w:val="24"/>
          <w:szCs w:val="24"/>
        </w:rPr>
      </w:pPr>
      <w:r>
        <w:rPr>
          <w:sz w:val="24"/>
          <w:szCs w:val="24"/>
        </w:rPr>
        <w:t xml:space="preserve">Regnskabet for 2011/12 udviser et overskud på </w:t>
      </w:r>
      <w:r>
        <w:rPr>
          <w:b/>
          <w:color w:val="FF0000"/>
          <w:sz w:val="24"/>
          <w:szCs w:val="24"/>
        </w:rPr>
        <w:t>74.808</w:t>
      </w:r>
      <w:r>
        <w:rPr>
          <w:sz w:val="24"/>
          <w:szCs w:val="24"/>
        </w:rPr>
        <w:t xml:space="preserve"> kr.  Der er i alt 22 udgiftskonti og 5 indtægtskonti. Der er nedenfor anført de 9 konti, hvor regnskabet afviger mere end 20.000 </w:t>
      </w:r>
      <w:proofErr w:type="spellStart"/>
      <w:r>
        <w:rPr>
          <w:sz w:val="24"/>
          <w:szCs w:val="24"/>
        </w:rPr>
        <w:t>kr</w:t>
      </w:r>
      <w:proofErr w:type="spellEnd"/>
      <w:r>
        <w:rPr>
          <w:sz w:val="24"/>
          <w:szCs w:val="24"/>
        </w:rPr>
        <w:t xml:space="preserve"> fra budgettet.</w:t>
      </w:r>
    </w:p>
    <w:tbl>
      <w:tblPr>
        <w:tblW w:w="5680" w:type="dxa"/>
        <w:tblInd w:w="65" w:type="dxa"/>
        <w:tblCellMar>
          <w:left w:w="70" w:type="dxa"/>
          <w:right w:w="70" w:type="dxa"/>
        </w:tblCellMar>
        <w:tblLook w:val="04A0" w:firstRow="1" w:lastRow="0" w:firstColumn="1" w:lastColumn="0" w:noHBand="0" w:noVBand="1"/>
      </w:tblPr>
      <w:tblGrid>
        <w:gridCol w:w="1660"/>
        <w:gridCol w:w="2120"/>
        <w:gridCol w:w="1900"/>
      </w:tblGrid>
      <w:tr w:rsidR="00F044A1" w:rsidTr="00F044A1">
        <w:trPr>
          <w:trHeight w:val="300"/>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F044A1" w:rsidRDefault="00F044A1">
            <w:pPr>
              <w:spacing w:after="0" w:line="240" w:lineRule="auto"/>
              <w:rPr>
                <w:rFonts w:eastAsia="Times New Roman" w:cs="Times New Roman"/>
                <w:color w:val="000000"/>
                <w:lang w:eastAsia="da-DK"/>
              </w:rPr>
            </w:pPr>
            <w:proofErr w:type="spellStart"/>
            <w:r>
              <w:rPr>
                <w:rFonts w:eastAsia="Times New Roman"/>
                <w:color w:val="000000"/>
                <w:lang w:eastAsia="da-DK"/>
              </w:rPr>
              <w:t>kontonr</w:t>
            </w:r>
            <w:proofErr w:type="spellEnd"/>
          </w:p>
        </w:tc>
        <w:tc>
          <w:tcPr>
            <w:tcW w:w="2120" w:type="dxa"/>
            <w:tcBorders>
              <w:top w:val="single" w:sz="4" w:space="0" w:color="auto"/>
              <w:left w:val="nil"/>
              <w:bottom w:val="single" w:sz="4" w:space="0" w:color="auto"/>
              <w:right w:val="single" w:sz="4" w:space="0" w:color="auto"/>
            </w:tcBorders>
            <w:noWrap/>
            <w:vAlign w:val="bottom"/>
            <w:hideMark/>
          </w:tcPr>
          <w:p w:rsidR="00F044A1" w:rsidRDefault="00F044A1">
            <w:pPr>
              <w:spacing w:after="0" w:line="240" w:lineRule="auto"/>
              <w:rPr>
                <w:rFonts w:eastAsia="Times New Roman" w:cs="Times New Roman"/>
                <w:color w:val="000000"/>
                <w:lang w:eastAsia="da-DK"/>
              </w:rPr>
            </w:pPr>
            <w:r>
              <w:rPr>
                <w:rFonts w:eastAsia="Times New Roman"/>
                <w:color w:val="000000"/>
                <w:lang w:eastAsia="da-DK"/>
              </w:rPr>
              <w:t>kontonavn</w:t>
            </w:r>
          </w:p>
        </w:tc>
        <w:tc>
          <w:tcPr>
            <w:tcW w:w="1900" w:type="dxa"/>
            <w:tcBorders>
              <w:top w:val="single" w:sz="4" w:space="0" w:color="auto"/>
              <w:left w:val="nil"/>
              <w:bottom w:val="single" w:sz="4" w:space="0" w:color="auto"/>
              <w:right w:val="single" w:sz="4" w:space="0" w:color="auto"/>
            </w:tcBorders>
            <w:noWrap/>
            <w:vAlign w:val="bottom"/>
            <w:hideMark/>
          </w:tcPr>
          <w:p w:rsidR="00F044A1" w:rsidRDefault="00F044A1">
            <w:pPr>
              <w:spacing w:after="0" w:line="240" w:lineRule="auto"/>
              <w:rPr>
                <w:rFonts w:eastAsia="Times New Roman" w:cs="Times New Roman"/>
                <w:color w:val="000000"/>
                <w:lang w:eastAsia="da-DK"/>
              </w:rPr>
            </w:pPr>
            <w:r>
              <w:rPr>
                <w:rFonts w:eastAsia="Times New Roman"/>
                <w:color w:val="000000"/>
                <w:lang w:eastAsia="da-DK"/>
              </w:rPr>
              <w:t>i forhold til budget</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105</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nettokapitaludgifter</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-38</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107</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vandafgift</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-85</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111</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el fælles</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-68</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114</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 xml:space="preserve">løn </w:t>
            </w:r>
            <w:proofErr w:type="spellStart"/>
            <w:r>
              <w:rPr>
                <w:rFonts w:eastAsia="Times New Roman"/>
                <w:color w:val="000000"/>
                <w:lang w:eastAsia="da-DK"/>
              </w:rPr>
              <w:t>osv</w:t>
            </w:r>
            <w:proofErr w:type="spellEnd"/>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30</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 xml:space="preserve">118 og </w:t>
            </w:r>
            <w:proofErr w:type="gramStart"/>
            <w:r>
              <w:rPr>
                <w:rFonts w:eastAsia="Times New Roman"/>
                <w:color w:val="000000"/>
                <w:lang w:eastAsia="da-DK"/>
              </w:rPr>
              <w:t>203.2</w:t>
            </w:r>
            <w:proofErr w:type="gramEnd"/>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vaskeri</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52</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119</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diverse</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43</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125</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udgift lån</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-45</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126</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tab leje</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-30</w:t>
            </w:r>
          </w:p>
        </w:tc>
      </w:tr>
      <w:tr w:rsidR="00F044A1" w:rsidTr="00F044A1">
        <w:trPr>
          <w:trHeight w:val="300"/>
        </w:trPr>
        <w:tc>
          <w:tcPr>
            <w:tcW w:w="1660" w:type="dxa"/>
            <w:tcBorders>
              <w:top w:val="nil"/>
              <w:left w:val="single" w:sz="4" w:space="0" w:color="auto"/>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202</w:t>
            </w:r>
          </w:p>
        </w:tc>
        <w:tc>
          <w:tcPr>
            <w:tcW w:w="212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renter</w:t>
            </w:r>
          </w:p>
        </w:tc>
        <w:tc>
          <w:tcPr>
            <w:tcW w:w="1900" w:type="dxa"/>
            <w:tcBorders>
              <w:top w:val="nil"/>
              <w:left w:val="nil"/>
              <w:bottom w:val="single" w:sz="4" w:space="0" w:color="auto"/>
              <w:right w:val="single" w:sz="4" w:space="0" w:color="auto"/>
            </w:tcBorders>
            <w:noWrap/>
            <w:vAlign w:val="bottom"/>
            <w:hideMark/>
          </w:tcPr>
          <w:p w:rsidR="00F044A1" w:rsidRDefault="00F044A1">
            <w:pPr>
              <w:spacing w:after="0" w:line="240" w:lineRule="auto"/>
              <w:jc w:val="center"/>
              <w:rPr>
                <w:rFonts w:eastAsia="Times New Roman" w:cs="Times New Roman"/>
                <w:color w:val="000000"/>
                <w:lang w:eastAsia="da-DK"/>
              </w:rPr>
            </w:pPr>
            <w:r>
              <w:rPr>
                <w:rFonts w:eastAsia="Times New Roman"/>
                <w:color w:val="000000"/>
                <w:lang w:eastAsia="da-DK"/>
              </w:rPr>
              <w:t>160</w:t>
            </w:r>
          </w:p>
        </w:tc>
      </w:tr>
    </w:tbl>
    <w:p w:rsidR="009A7BB7" w:rsidRDefault="009A7BB7" w:rsidP="00F044A1">
      <w:pPr>
        <w:rPr>
          <w:sz w:val="24"/>
          <w:szCs w:val="24"/>
        </w:rPr>
      </w:pPr>
    </w:p>
    <w:p w:rsidR="00F044A1" w:rsidRDefault="00F044A1" w:rsidP="00F044A1">
      <w:pPr>
        <w:rPr>
          <w:sz w:val="24"/>
          <w:szCs w:val="24"/>
        </w:rPr>
      </w:pPr>
      <w:r>
        <w:rPr>
          <w:sz w:val="24"/>
          <w:szCs w:val="24"/>
        </w:rPr>
        <w:t xml:space="preserve">Der er anført afvigelser i forhold til budgettet. Når der for eksempel står -85 ved vandafgift betyder det, at der er et negativt bidrag, med andre ord er vandudgifterne 85.000 højere end budgetteret. Tilsvarende betyder 30 ved løn, at udgifterne har været 30.000 mindre </w:t>
      </w:r>
      <w:r w:rsidR="009A7BB7">
        <w:rPr>
          <w:sz w:val="24"/>
          <w:szCs w:val="24"/>
        </w:rPr>
        <w:t xml:space="preserve">end </w:t>
      </w:r>
      <w:r>
        <w:rPr>
          <w:sz w:val="24"/>
          <w:szCs w:val="24"/>
        </w:rPr>
        <w:lastRenderedPageBreak/>
        <w:t>budgetteret.</w:t>
      </w:r>
      <w:r w:rsidR="009A7BB7">
        <w:rPr>
          <w:sz w:val="24"/>
          <w:szCs w:val="24"/>
        </w:rPr>
        <w:t xml:space="preserve"> </w:t>
      </w:r>
      <w:r>
        <w:rPr>
          <w:sz w:val="24"/>
          <w:szCs w:val="24"/>
        </w:rPr>
        <w:t>De samme tal kan også vises i en graf:</w:t>
      </w:r>
      <w:r>
        <w:rPr>
          <w:noProof/>
          <w:lang w:eastAsia="da-DK"/>
        </w:rPr>
        <w:drawing>
          <wp:inline distT="0" distB="0" distL="0" distR="0" wp14:anchorId="6311D020" wp14:editId="419E680E">
            <wp:extent cx="6120130" cy="3929109"/>
            <wp:effectExtent l="0" t="0" r="13970" b="1460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44A1" w:rsidRDefault="00F044A1" w:rsidP="00F044A1">
      <w:pPr>
        <w:rPr>
          <w:noProof/>
          <w:sz w:val="24"/>
          <w:szCs w:val="24"/>
          <w:lang w:eastAsia="da-DK"/>
        </w:rPr>
      </w:pPr>
      <w:r>
        <w:rPr>
          <w:noProof/>
          <w:sz w:val="24"/>
          <w:szCs w:val="24"/>
          <w:lang w:eastAsia="da-DK"/>
        </w:rPr>
        <w:t>Det kan bemærkes, at finansielle forhold og energi spiller langt den største rolle i  regnskabet.</w:t>
      </w:r>
    </w:p>
    <w:p w:rsidR="00F044A1" w:rsidRDefault="00F044A1" w:rsidP="00F044A1">
      <w:pPr>
        <w:rPr>
          <w:noProof/>
          <w:sz w:val="24"/>
          <w:szCs w:val="24"/>
          <w:lang w:eastAsia="da-DK"/>
        </w:rPr>
      </w:pPr>
      <w:r>
        <w:rPr>
          <w:noProof/>
          <w:sz w:val="24"/>
          <w:szCs w:val="24"/>
          <w:lang w:eastAsia="da-DK"/>
        </w:rPr>
        <w:t xml:space="preserve">Vores renteindtægter viser et overskud på 160.000 kr, blandt andet fordi vi endnu ikke har brugt penge på boilerrum. Det kommer jo nok i dette år. Samtidig er der en større udgift på renter og afdrag på lånene i bygningen på  83.000 kr. Det meste skyldes mindre statstilskud en budgetteret. </w:t>
      </w:r>
    </w:p>
    <w:p w:rsidR="00F044A1" w:rsidRDefault="00F044A1" w:rsidP="00F044A1">
      <w:pPr>
        <w:rPr>
          <w:noProof/>
          <w:sz w:val="24"/>
          <w:szCs w:val="24"/>
          <w:lang w:eastAsia="da-DK"/>
        </w:rPr>
      </w:pPr>
      <w:r>
        <w:rPr>
          <w:noProof/>
          <w:sz w:val="24"/>
          <w:szCs w:val="24"/>
          <w:lang w:eastAsia="da-DK"/>
        </w:rPr>
        <w:t xml:space="preserve">Vand og el giver samlet en merudgift på 153.000 kr, mens vaskerierne giver et bedre driftsresultat på 52.000. </w:t>
      </w:r>
    </w:p>
    <w:p w:rsidR="00F044A1" w:rsidRDefault="00F044A1" w:rsidP="00F044A1">
      <w:pPr>
        <w:rPr>
          <w:noProof/>
          <w:sz w:val="24"/>
          <w:szCs w:val="24"/>
          <w:lang w:eastAsia="da-DK"/>
        </w:rPr>
      </w:pPr>
    </w:p>
    <w:p w:rsidR="0038470C" w:rsidRPr="0038470C" w:rsidRDefault="00F044A1" w:rsidP="0092106E">
      <w:pPr>
        <w:rPr>
          <w:rFonts w:ascii="Times New Roman" w:hAnsi="Times New Roman" w:cs="Times New Roman"/>
          <w:sz w:val="28"/>
          <w:szCs w:val="28"/>
        </w:rPr>
      </w:pPr>
      <w:r>
        <w:rPr>
          <w:b/>
          <w:noProof/>
          <w:color w:val="FF0000"/>
          <w:sz w:val="24"/>
          <w:szCs w:val="24"/>
          <w:lang w:eastAsia="da-DK"/>
        </w:rPr>
        <w:t>Konklusion : Overskud på ca. 75,000 kr. Skyldes væsentligt større renteindtægter på 160.000 kr. som vil formindskes når vi køber boilerrum/fjernvarme. Grund til opmærksomhed på den økonomiske situation</w:t>
      </w:r>
      <w:r>
        <w:rPr>
          <w:noProof/>
          <w:sz w:val="24"/>
          <w:szCs w:val="24"/>
          <w:lang w:eastAsia="da-DK"/>
        </w:rPr>
        <w:t xml:space="preserve">.        </w:t>
      </w:r>
    </w:p>
    <w:sectPr w:rsidR="0038470C" w:rsidRPr="0038470C" w:rsidSect="008E0B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778D"/>
    <w:multiLevelType w:val="hybridMultilevel"/>
    <w:tmpl w:val="4CAA8C5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18917CA"/>
    <w:multiLevelType w:val="hybridMultilevel"/>
    <w:tmpl w:val="B06806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CCB4042"/>
    <w:multiLevelType w:val="multilevel"/>
    <w:tmpl w:val="B97A245A"/>
    <w:lvl w:ilvl="0">
      <w:start w:val="1"/>
      <w:numFmt w:val="decimal"/>
      <w:lvlText w:val="%1."/>
      <w:lvlJc w:val="left"/>
      <w:pPr>
        <w:ind w:left="1080" w:hanging="720"/>
      </w:pPr>
      <w:rPr>
        <w:rFonts w:hint="default"/>
        <w:color w:val="auto"/>
        <w:sz w:val="24"/>
        <w:szCs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DB41725"/>
    <w:multiLevelType w:val="hybridMultilevel"/>
    <w:tmpl w:val="B69AAA4C"/>
    <w:lvl w:ilvl="0" w:tplc="04060015">
      <w:start w:val="1"/>
      <w:numFmt w:val="upperLetter"/>
      <w:lvlText w:val="%1."/>
      <w:lvlJc w:val="left"/>
      <w:pPr>
        <w:ind w:left="3479"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B"/>
    <w:rsid w:val="000866A6"/>
    <w:rsid w:val="001406D1"/>
    <w:rsid w:val="002D4B0B"/>
    <w:rsid w:val="002D5F90"/>
    <w:rsid w:val="002E77C1"/>
    <w:rsid w:val="00330974"/>
    <w:rsid w:val="0038470C"/>
    <w:rsid w:val="004C288E"/>
    <w:rsid w:val="004D08FF"/>
    <w:rsid w:val="005B417F"/>
    <w:rsid w:val="005E13B2"/>
    <w:rsid w:val="00660BE6"/>
    <w:rsid w:val="00752E72"/>
    <w:rsid w:val="007B74A6"/>
    <w:rsid w:val="007C7DB7"/>
    <w:rsid w:val="00891058"/>
    <w:rsid w:val="0089679A"/>
    <w:rsid w:val="008E0B2A"/>
    <w:rsid w:val="0092106E"/>
    <w:rsid w:val="00966929"/>
    <w:rsid w:val="009A7BB7"/>
    <w:rsid w:val="00A075C4"/>
    <w:rsid w:val="00AC2359"/>
    <w:rsid w:val="00B00638"/>
    <w:rsid w:val="00B06139"/>
    <w:rsid w:val="00B23DC8"/>
    <w:rsid w:val="00B41003"/>
    <w:rsid w:val="00B951F7"/>
    <w:rsid w:val="00BE798E"/>
    <w:rsid w:val="00C24AC4"/>
    <w:rsid w:val="00CB32D2"/>
    <w:rsid w:val="00D0296B"/>
    <w:rsid w:val="00D23499"/>
    <w:rsid w:val="00DD71CD"/>
    <w:rsid w:val="00E1337F"/>
    <w:rsid w:val="00E1415F"/>
    <w:rsid w:val="00E84193"/>
    <w:rsid w:val="00F0391A"/>
    <w:rsid w:val="00F044A1"/>
    <w:rsid w:val="00F90FA5"/>
    <w:rsid w:val="00FB71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234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3499"/>
    <w:rPr>
      <w:rFonts w:ascii="Tahoma" w:hAnsi="Tahoma" w:cs="Tahoma"/>
      <w:sz w:val="16"/>
      <w:szCs w:val="16"/>
    </w:rPr>
  </w:style>
  <w:style w:type="paragraph" w:styleId="Listeafsnit">
    <w:name w:val="List Paragraph"/>
    <w:basedOn w:val="Normal"/>
    <w:uiPriority w:val="34"/>
    <w:qFormat/>
    <w:rsid w:val="00E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234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3499"/>
    <w:rPr>
      <w:rFonts w:ascii="Tahoma" w:hAnsi="Tahoma" w:cs="Tahoma"/>
      <w:sz w:val="16"/>
      <w:szCs w:val="16"/>
    </w:rPr>
  </w:style>
  <w:style w:type="paragraph" w:styleId="Listeafsnit">
    <w:name w:val="List Paragraph"/>
    <w:basedOn w:val="Normal"/>
    <w:uiPriority w:val="34"/>
    <w:qFormat/>
    <w:rsid w:val="00E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IL1\AutoBruger\cn17869\Egeparken\Budget%202013-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1\AutoBruger\cn17869\Egeparken\Budget%202013-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1\AutoBruger\cn17869\Egeparken\Budget%202013-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Budget 13/14</a:t>
            </a:r>
          </a:p>
          <a:p>
            <a:pPr>
              <a:defRPr/>
            </a:pPr>
            <a:r>
              <a:rPr lang="en-US"/>
              <a:t> ændringer større end 25.000</a:t>
            </a:r>
          </a:p>
        </c:rich>
      </c:tx>
      <c:layout/>
      <c:overlay val="0"/>
    </c:title>
    <c:autoTitleDeleted val="0"/>
    <c:plotArea>
      <c:layout/>
      <c:bar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2"/>
              </a:solidFill>
            </c:spPr>
          </c:dPt>
          <c:dLbls>
            <c:dLbl>
              <c:idx val="0"/>
              <c:layout>
                <c:manualLayout>
                  <c:x val="0"/>
                  <c:y val="0.3379137524130949"/>
                </c:manualLayout>
              </c:layout>
              <c:showLegendKey val="0"/>
              <c:showVal val="1"/>
              <c:showCatName val="0"/>
              <c:showSerName val="0"/>
              <c:showPercent val="0"/>
              <c:showBubbleSize val="0"/>
            </c:dLbl>
            <c:txPr>
              <a:bodyPr/>
              <a:lstStyle/>
              <a:p>
                <a:pPr>
                  <a:defRPr sz="1400" b="1">
                    <a:solidFill>
                      <a:srgbClr val="FF0000"/>
                    </a:solidFill>
                  </a:defRPr>
                </a:pPr>
                <a:endParaRPr lang="da-DK"/>
              </a:p>
            </c:txPr>
            <c:showLegendKey val="0"/>
            <c:showVal val="1"/>
            <c:showCatName val="0"/>
            <c:showSerName val="0"/>
            <c:showPercent val="0"/>
            <c:showBubbleSize val="0"/>
            <c:showLeaderLines val="0"/>
          </c:dLbls>
          <c:cat>
            <c:strRef>
              <c:f>'Ark1'!$B$13:$B$21</c:f>
              <c:strCache>
                <c:ptCount val="9"/>
                <c:pt idx="0">
                  <c:v>Færre henlæggelser</c:v>
                </c:pt>
                <c:pt idx="1">
                  <c:v>Mindre end 25000</c:v>
                </c:pt>
                <c:pt idx="2">
                  <c:v>Tab lejelejlighed</c:v>
                </c:pt>
                <c:pt idx="3">
                  <c:v>Tab fraflytning</c:v>
                </c:pt>
                <c:pt idx="4">
                  <c:v>El</c:v>
                </c:pt>
                <c:pt idx="5">
                  <c:v>Renovation</c:v>
                </c:pt>
                <c:pt idx="6">
                  <c:v>Ejendomsskatter</c:v>
                </c:pt>
                <c:pt idx="7">
                  <c:v>Renter og afdrag lån</c:v>
                </c:pt>
                <c:pt idx="8">
                  <c:v>Vandafgift</c:v>
                </c:pt>
              </c:strCache>
            </c:strRef>
          </c:cat>
          <c:val>
            <c:numRef>
              <c:f>'Ark1'!$C$13:$C$21</c:f>
              <c:numCache>
                <c:formatCode>Standard</c:formatCode>
                <c:ptCount val="9"/>
                <c:pt idx="0">
                  <c:v>-160</c:v>
                </c:pt>
                <c:pt idx="1">
                  <c:v>-17</c:v>
                </c:pt>
                <c:pt idx="2">
                  <c:v>-60</c:v>
                </c:pt>
                <c:pt idx="3">
                  <c:v>50</c:v>
                </c:pt>
                <c:pt idx="4">
                  <c:v>55</c:v>
                </c:pt>
                <c:pt idx="5">
                  <c:v>58</c:v>
                </c:pt>
                <c:pt idx="6">
                  <c:v>61</c:v>
                </c:pt>
                <c:pt idx="7">
                  <c:v>101</c:v>
                </c:pt>
                <c:pt idx="8">
                  <c:v>194</c:v>
                </c:pt>
              </c:numCache>
            </c:numRef>
          </c:val>
        </c:ser>
        <c:dLbls>
          <c:showLegendKey val="0"/>
          <c:showVal val="0"/>
          <c:showCatName val="0"/>
          <c:showSerName val="0"/>
          <c:showPercent val="0"/>
          <c:showBubbleSize val="0"/>
        </c:dLbls>
        <c:gapWidth val="75"/>
        <c:overlap val="-25"/>
        <c:axId val="29311744"/>
        <c:axId val="29313280"/>
      </c:barChart>
      <c:catAx>
        <c:axId val="29311744"/>
        <c:scaling>
          <c:orientation val="minMax"/>
        </c:scaling>
        <c:delete val="0"/>
        <c:axPos val="b"/>
        <c:majorTickMark val="none"/>
        <c:minorTickMark val="none"/>
        <c:tickLblPos val="nextTo"/>
        <c:crossAx val="29313280"/>
        <c:crosses val="autoZero"/>
        <c:auto val="1"/>
        <c:lblAlgn val="ctr"/>
        <c:lblOffset val="100"/>
        <c:noMultiLvlLbl val="0"/>
      </c:catAx>
      <c:valAx>
        <c:axId val="29313280"/>
        <c:scaling>
          <c:orientation val="minMax"/>
        </c:scaling>
        <c:delete val="0"/>
        <c:axPos val="l"/>
        <c:majorGridlines/>
        <c:numFmt formatCode="Standard" sourceLinked="1"/>
        <c:majorTickMark val="none"/>
        <c:minorTickMark val="none"/>
        <c:tickLblPos val="nextTo"/>
        <c:spPr>
          <a:ln w="9525">
            <a:noFill/>
          </a:ln>
        </c:spPr>
        <c:crossAx val="29311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Budgetstigning 13/14 på hovedkategorier</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4.1608923884514433E-2"/>
                  <c:y val="2.0622995042286381E-2"/>
                </c:manualLayout>
              </c:layout>
              <c:showLegendKey val="0"/>
              <c:showVal val="1"/>
              <c:showCatName val="1"/>
              <c:showSerName val="0"/>
              <c:showPercent val="1"/>
              <c:showBubbleSize val="0"/>
            </c:dLbl>
            <c:dLbl>
              <c:idx val="1"/>
              <c:layout>
                <c:manualLayout>
                  <c:x val="3.1270888013998251E-2"/>
                  <c:y val="0.11147273257509478"/>
                </c:manualLayout>
              </c:layout>
              <c:tx>
                <c:rich>
                  <a:bodyPr/>
                  <a:lstStyle/>
                  <a:p>
                    <a:pPr>
                      <a:defRPr sz="1400" b="0">
                        <a:solidFill>
                          <a:srgbClr val="C00000"/>
                        </a:solidFill>
                      </a:defRPr>
                    </a:pPr>
                    <a:r>
                      <a:rPr lang="en-US" sz="1400" b="0">
                        <a:solidFill>
                          <a:srgbClr val="C00000"/>
                        </a:solidFill>
                      </a:rPr>
                      <a:t>Energi og renovation; 307; 66%</a:t>
                    </a:r>
                  </a:p>
                </c:rich>
              </c:tx>
              <c:spPr/>
              <c:showLegendKey val="0"/>
              <c:showVal val="1"/>
              <c:showCatName val="1"/>
              <c:showSerName val="0"/>
              <c:showPercent val="1"/>
              <c:showBubbleSize val="0"/>
            </c:dLbl>
            <c:txPr>
              <a:bodyPr/>
              <a:lstStyle/>
              <a:p>
                <a:pPr>
                  <a:defRPr sz="1400" b="1">
                    <a:solidFill>
                      <a:srgbClr val="0070C0"/>
                    </a:solidFill>
                  </a:defRPr>
                </a:pPr>
                <a:endParaRPr lang="da-DK"/>
              </a:p>
            </c:txPr>
            <c:showLegendKey val="0"/>
            <c:showVal val="1"/>
            <c:showCatName val="1"/>
            <c:showSerName val="0"/>
            <c:showPercent val="1"/>
            <c:showBubbleSize val="0"/>
            <c:showLeaderLines val="1"/>
          </c:dLbls>
          <c:cat>
            <c:strRef>
              <c:f>'Ark1'!$B$44:$B$45</c:f>
              <c:strCache>
                <c:ptCount val="2"/>
                <c:pt idx="0">
                  <c:v>Skatter og lån</c:v>
                </c:pt>
                <c:pt idx="1">
                  <c:v>Energi og renovation</c:v>
                </c:pt>
              </c:strCache>
            </c:strRef>
          </c:cat>
          <c:val>
            <c:numRef>
              <c:f>'Ark1'!$C$44:$C$45</c:f>
              <c:numCache>
                <c:formatCode>Standard</c:formatCode>
                <c:ptCount val="2"/>
                <c:pt idx="0">
                  <c:v>161</c:v>
                </c:pt>
                <c:pt idx="1">
                  <c:v>307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Budgetsstigning 13/14 fra  08/09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1.5048884514435696E-2"/>
                  <c:y val="-7.0348862642169732E-2"/>
                </c:manualLayout>
              </c:layout>
              <c:showLegendKey val="0"/>
              <c:showVal val="1"/>
              <c:showCatName val="1"/>
              <c:showSerName val="0"/>
              <c:showPercent val="1"/>
              <c:showBubbleSize val="0"/>
            </c:dLbl>
            <c:dLbl>
              <c:idx val="1"/>
              <c:layout>
                <c:manualLayout>
                  <c:x val="-0.28703603830343127"/>
                  <c:y val="-6.2520249812863804E-2"/>
                </c:manualLayout>
              </c:layout>
              <c:showLegendKey val="0"/>
              <c:showVal val="1"/>
              <c:showCatName val="1"/>
              <c:showSerName val="0"/>
              <c:showPercent val="1"/>
              <c:showBubbleSize val="0"/>
            </c:dLbl>
            <c:dLbl>
              <c:idx val="3"/>
              <c:layout>
                <c:manualLayout>
                  <c:x val="-5.0747971572046642E-2"/>
                  <c:y val="-8.8973323808390931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'Ark3'!$A$43:$A$47</c:f>
              <c:strCache>
                <c:ptCount val="5"/>
                <c:pt idx="0">
                  <c:v>Henlæggelser vedligeholdelse</c:v>
                </c:pt>
                <c:pt idx="1">
                  <c:v>Skatter og lån</c:v>
                </c:pt>
                <c:pt idx="2">
                  <c:v>Energi og renovation</c:v>
                </c:pt>
                <c:pt idx="3">
                  <c:v>Løn mv.</c:v>
                </c:pt>
                <c:pt idx="4">
                  <c:v>Øvrige </c:v>
                </c:pt>
              </c:strCache>
            </c:strRef>
          </c:cat>
          <c:val>
            <c:numRef>
              <c:f>'Ark3'!$B$43:$B$47</c:f>
              <c:numCache>
                <c:formatCode>Standard</c:formatCode>
                <c:ptCount val="5"/>
                <c:pt idx="0">
                  <c:v>449</c:v>
                </c:pt>
                <c:pt idx="1">
                  <c:v>610</c:v>
                </c:pt>
                <c:pt idx="2">
                  <c:v>173</c:v>
                </c:pt>
                <c:pt idx="3">
                  <c:v>152</c:v>
                </c:pt>
                <c:pt idx="4">
                  <c:v>149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Afvigelser i regnskab 2011-12 </a:t>
            </a:r>
          </a:p>
          <a:p>
            <a:pPr>
              <a:defRPr/>
            </a:pPr>
            <a:r>
              <a:rPr lang="da-DK"/>
              <a:t> mere end 20.000 kr</a:t>
            </a:r>
          </a:p>
        </c:rich>
      </c:tx>
      <c:layout/>
      <c:overlay val="0"/>
    </c:title>
    <c:autoTitleDeleted val="0"/>
    <c:plotArea>
      <c:layout/>
      <c:barChart>
        <c:barDir val="bar"/>
        <c:grouping val="clustered"/>
        <c:varyColors val="0"/>
        <c:ser>
          <c:idx val="0"/>
          <c:order val="0"/>
          <c:invertIfNegative val="0"/>
          <c:dLbls>
            <c:dLbl>
              <c:idx val="0"/>
              <c:spPr/>
              <c:txPr>
                <a:bodyPr/>
                <a:lstStyle/>
                <a:p>
                  <a:pPr>
                    <a:defRPr b="1">
                      <a:solidFill>
                        <a:srgbClr val="0070C0"/>
                      </a:solidFill>
                    </a:defRPr>
                  </a:pPr>
                  <a:endParaRPr lang="da-DK"/>
                </a:p>
              </c:txPr>
              <c:showLegendKey val="0"/>
              <c:showVal val="1"/>
              <c:showCatName val="0"/>
              <c:showSerName val="0"/>
              <c:showPercent val="0"/>
              <c:showBubbleSize val="0"/>
            </c:dLbl>
            <c:dLbl>
              <c:idx val="1"/>
              <c:spPr/>
              <c:txPr>
                <a:bodyPr/>
                <a:lstStyle/>
                <a:p>
                  <a:pPr>
                    <a:defRPr b="1">
                      <a:solidFill>
                        <a:srgbClr val="0070C0"/>
                      </a:solidFill>
                    </a:defRPr>
                  </a:pPr>
                  <a:endParaRPr lang="da-DK"/>
                </a:p>
              </c:txPr>
              <c:showLegendKey val="0"/>
              <c:showVal val="1"/>
              <c:showCatName val="0"/>
              <c:showSerName val="0"/>
              <c:showPercent val="0"/>
              <c:showBubbleSize val="0"/>
            </c:dLbl>
            <c:dLbl>
              <c:idx val="2"/>
              <c:spPr/>
              <c:txPr>
                <a:bodyPr/>
                <a:lstStyle/>
                <a:p>
                  <a:pPr>
                    <a:defRPr b="1">
                      <a:solidFill>
                        <a:srgbClr val="0070C0"/>
                      </a:solidFill>
                    </a:defRPr>
                  </a:pPr>
                  <a:endParaRPr lang="da-DK"/>
                </a:p>
              </c:txPr>
              <c:showLegendKey val="0"/>
              <c:showVal val="1"/>
              <c:showCatName val="0"/>
              <c:showSerName val="0"/>
              <c:showPercent val="0"/>
              <c:showBubbleSize val="0"/>
            </c:dLbl>
            <c:dLbl>
              <c:idx val="4"/>
              <c:layout>
                <c:manualLayout>
                  <c:x val="4.7832585949177879E-2"/>
                  <c:y val="0"/>
                </c:manualLayout>
              </c:layout>
              <c:spPr/>
              <c:txPr>
                <a:bodyPr/>
                <a:lstStyle/>
                <a:p>
                  <a:pPr>
                    <a:defRPr b="1">
                      <a:solidFill>
                        <a:srgbClr val="0070C0"/>
                      </a:solidFill>
                    </a:defRPr>
                  </a:pPr>
                  <a:endParaRPr lang="da-DK"/>
                </a:p>
              </c:txPr>
              <c:showLegendKey val="0"/>
              <c:showVal val="1"/>
              <c:showCatName val="0"/>
              <c:showSerName val="0"/>
              <c:showPercent val="0"/>
              <c:showBubbleSize val="0"/>
            </c:dLbl>
            <c:dLbl>
              <c:idx val="5"/>
              <c:spPr/>
              <c:txPr>
                <a:bodyPr/>
                <a:lstStyle/>
                <a:p>
                  <a:pPr>
                    <a:defRPr b="1">
                      <a:solidFill>
                        <a:srgbClr val="FF0000"/>
                      </a:solidFill>
                    </a:defRPr>
                  </a:pPr>
                  <a:endParaRPr lang="da-DK"/>
                </a:p>
              </c:txPr>
              <c:showLegendKey val="0"/>
              <c:showVal val="1"/>
              <c:showCatName val="0"/>
              <c:showSerName val="0"/>
              <c:showPercent val="0"/>
              <c:showBubbleSize val="0"/>
            </c:dLbl>
            <c:dLbl>
              <c:idx val="6"/>
              <c:spPr/>
              <c:txPr>
                <a:bodyPr/>
                <a:lstStyle/>
                <a:p>
                  <a:pPr>
                    <a:defRPr b="1">
                      <a:solidFill>
                        <a:srgbClr val="FF0000"/>
                      </a:solidFill>
                    </a:defRPr>
                  </a:pPr>
                  <a:endParaRPr lang="da-DK"/>
                </a:p>
              </c:txPr>
              <c:showLegendKey val="0"/>
              <c:showVal val="1"/>
              <c:showCatName val="0"/>
              <c:showSerName val="0"/>
              <c:showPercent val="0"/>
              <c:showBubbleSize val="0"/>
            </c:dLbl>
            <c:dLbl>
              <c:idx val="7"/>
              <c:spPr/>
              <c:txPr>
                <a:bodyPr/>
                <a:lstStyle/>
                <a:p>
                  <a:pPr>
                    <a:defRPr b="1">
                      <a:solidFill>
                        <a:srgbClr val="FF0000"/>
                      </a:solidFill>
                    </a:defRPr>
                  </a:pPr>
                  <a:endParaRPr lang="da-DK"/>
                </a:p>
              </c:txPr>
              <c:showLegendKey val="0"/>
              <c:showVal val="1"/>
              <c:showCatName val="0"/>
              <c:showSerName val="0"/>
              <c:showPercent val="0"/>
              <c:showBubbleSize val="0"/>
            </c:dLbl>
            <c:dLbl>
              <c:idx val="8"/>
              <c:spPr/>
              <c:txPr>
                <a:bodyPr/>
                <a:lstStyle/>
                <a:p>
                  <a:pPr>
                    <a:defRPr b="1">
                      <a:solidFill>
                        <a:srgbClr val="FF0000"/>
                      </a:solidFill>
                    </a:defRPr>
                  </a:pPr>
                  <a:endParaRPr lang="da-DK"/>
                </a:p>
              </c:txPr>
              <c:showLegendKey val="0"/>
              <c:showVal val="1"/>
              <c:showCatName val="0"/>
              <c:showSerName val="0"/>
              <c:showPercent val="0"/>
              <c:showBubbleSize val="0"/>
            </c:dLbl>
            <c:showLegendKey val="0"/>
            <c:showVal val="1"/>
            <c:showCatName val="0"/>
            <c:showSerName val="0"/>
            <c:showPercent val="0"/>
            <c:showBubbleSize val="0"/>
            <c:showLeaderLines val="0"/>
          </c:dLbls>
          <c:cat>
            <c:strRef>
              <c:f>'Ark1'!$A$1:$A$9</c:f>
              <c:strCache>
                <c:ptCount val="9"/>
                <c:pt idx="0">
                  <c:v>vandafgift</c:v>
                </c:pt>
                <c:pt idx="1">
                  <c:v>el fælles</c:v>
                </c:pt>
                <c:pt idx="2">
                  <c:v>udgift lån</c:v>
                </c:pt>
                <c:pt idx="3">
                  <c:v>nettokapitaludgifter</c:v>
                </c:pt>
                <c:pt idx="4">
                  <c:v>tab leje</c:v>
                </c:pt>
                <c:pt idx="5">
                  <c:v>løn osv</c:v>
                </c:pt>
                <c:pt idx="6">
                  <c:v>diverse</c:v>
                </c:pt>
                <c:pt idx="7">
                  <c:v>vaskeri</c:v>
                </c:pt>
                <c:pt idx="8">
                  <c:v>renter</c:v>
                </c:pt>
              </c:strCache>
            </c:strRef>
          </c:cat>
          <c:val>
            <c:numRef>
              <c:f>'Ark1'!$B$1:$B$9</c:f>
              <c:numCache>
                <c:formatCode>Standard</c:formatCode>
                <c:ptCount val="9"/>
                <c:pt idx="0">
                  <c:v>-85</c:v>
                </c:pt>
                <c:pt idx="1">
                  <c:v>-68</c:v>
                </c:pt>
                <c:pt idx="2">
                  <c:v>-45</c:v>
                </c:pt>
                <c:pt idx="3">
                  <c:v>-38</c:v>
                </c:pt>
                <c:pt idx="4">
                  <c:v>-30</c:v>
                </c:pt>
                <c:pt idx="5">
                  <c:v>30</c:v>
                </c:pt>
                <c:pt idx="6">
                  <c:v>43</c:v>
                </c:pt>
                <c:pt idx="7">
                  <c:v>52</c:v>
                </c:pt>
                <c:pt idx="8">
                  <c:v>160</c:v>
                </c:pt>
              </c:numCache>
            </c:numRef>
          </c:val>
        </c:ser>
        <c:dLbls>
          <c:showLegendKey val="0"/>
          <c:showVal val="0"/>
          <c:showCatName val="0"/>
          <c:showSerName val="0"/>
          <c:showPercent val="0"/>
          <c:showBubbleSize val="0"/>
        </c:dLbls>
        <c:gapWidth val="150"/>
        <c:axId val="193505920"/>
        <c:axId val="193511808"/>
      </c:barChart>
      <c:catAx>
        <c:axId val="193505920"/>
        <c:scaling>
          <c:orientation val="minMax"/>
        </c:scaling>
        <c:delete val="0"/>
        <c:axPos val="l"/>
        <c:majorTickMark val="none"/>
        <c:minorTickMark val="none"/>
        <c:tickLblPos val="nextTo"/>
        <c:txPr>
          <a:bodyPr/>
          <a:lstStyle/>
          <a:p>
            <a:pPr>
              <a:defRPr sz="1400">
                <a:solidFill>
                  <a:srgbClr val="FF0000"/>
                </a:solidFill>
              </a:defRPr>
            </a:pPr>
            <a:endParaRPr lang="da-DK"/>
          </a:p>
        </c:txPr>
        <c:crossAx val="193511808"/>
        <c:crosses val="autoZero"/>
        <c:auto val="1"/>
        <c:lblAlgn val="ctr"/>
        <c:lblOffset val="100"/>
        <c:noMultiLvlLbl val="0"/>
      </c:catAx>
      <c:valAx>
        <c:axId val="193511808"/>
        <c:scaling>
          <c:orientation val="minMax"/>
        </c:scaling>
        <c:delete val="0"/>
        <c:axPos val="b"/>
        <c:majorGridlines/>
        <c:numFmt formatCode="Standard" sourceLinked="1"/>
        <c:majorTickMark val="none"/>
        <c:minorTickMark val="none"/>
        <c:tickLblPos val="nextTo"/>
        <c:crossAx val="1935059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Afvigelser i regnskab 2011-12 </a:t>
            </a:r>
          </a:p>
          <a:p>
            <a:pPr>
              <a:defRPr/>
            </a:pPr>
            <a:r>
              <a:rPr lang="da-DK"/>
              <a:t> mere end 20.000 kr</a:t>
            </a:r>
          </a:p>
        </c:rich>
      </c:tx>
      <c:overlay val="0"/>
    </c:title>
    <c:autoTitleDeleted val="0"/>
    <c:plotArea>
      <c:layout/>
      <c:barChart>
        <c:barDir val="bar"/>
        <c:grouping val="clustered"/>
        <c:varyColors val="0"/>
        <c:ser>
          <c:idx val="0"/>
          <c:order val="0"/>
          <c:invertIfNegative val="0"/>
          <c:dLbls>
            <c:dLbl>
              <c:idx val="0"/>
              <c:spPr/>
              <c:txPr>
                <a:bodyPr/>
                <a:lstStyle/>
                <a:p>
                  <a:pPr>
                    <a:defRPr b="1">
                      <a:solidFill>
                        <a:srgbClr val="0070C0"/>
                      </a:solidFill>
                    </a:defRPr>
                  </a:pPr>
                  <a:endParaRPr lang="da-DK"/>
                </a:p>
              </c:txPr>
              <c:showLegendKey val="0"/>
              <c:showVal val="1"/>
              <c:showCatName val="0"/>
              <c:showSerName val="0"/>
              <c:showPercent val="0"/>
              <c:showBubbleSize val="0"/>
            </c:dLbl>
            <c:dLbl>
              <c:idx val="1"/>
              <c:spPr/>
              <c:txPr>
                <a:bodyPr/>
                <a:lstStyle/>
                <a:p>
                  <a:pPr>
                    <a:defRPr b="1">
                      <a:solidFill>
                        <a:srgbClr val="0070C0"/>
                      </a:solidFill>
                    </a:defRPr>
                  </a:pPr>
                  <a:endParaRPr lang="da-DK"/>
                </a:p>
              </c:txPr>
              <c:showLegendKey val="0"/>
              <c:showVal val="1"/>
              <c:showCatName val="0"/>
              <c:showSerName val="0"/>
              <c:showPercent val="0"/>
              <c:showBubbleSize val="0"/>
            </c:dLbl>
            <c:dLbl>
              <c:idx val="2"/>
              <c:spPr/>
              <c:txPr>
                <a:bodyPr/>
                <a:lstStyle/>
                <a:p>
                  <a:pPr>
                    <a:defRPr b="1">
                      <a:solidFill>
                        <a:srgbClr val="0070C0"/>
                      </a:solidFill>
                    </a:defRPr>
                  </a:pPr>
                  <a:endParaRPr lang="da-DK"/>
                </a:p>
              </c:txPr>
              <c:showLegendKey val="0"/>
              <c:showVal val="1"/>
              <c:showCatName val="0"/>
              <c:showSerName val="0"/>
              <c:showPercent val="0"/>
              <c:showBubbleSize val="0"/>
            </c:dLbl>
            <c:dLbl>
              <c:idx val="4"/>
              <c:layout>
                <c:manualLayout>
                  <c:x val="4.7832585949177879E-2"/>
                  <c:y val="0"/>
                </c:manualLayout>
              </c:layout>
              <c:spPr/>
              <c:txPr>
                <a:bodyPr/>
                <a:lstStyle/>
                <a:p>
                  <a:pPr>
                    <a:defRPr b="1">
                      <a:solidFill>
                        <a:srgbClr val="0070C0"/>
                      </a:solidFill>
                    </a:defRPr>
                  </a:pPr>
                  <a:endParaRPr lang="da-DK"/>
                </a:p>
              </c:txPr>
              <c:showLegendKey val="0"/>
              <c:showVal val="1"/>
              <c:showCatName val="0"/>
              <c:showSerName val="0"/>
              <c:showPercent val="0"/>
              <c:showBubbleSize val="0"/>
            </c:dLbl>
            <c:dLbl>
              <c:idx val="5"/>
              <c:spPr/>
              <c:txPr>
                <a:bodyPr/>
                <a:lstStyle/>
                <a:p>
                  <a:pPr>
                    <a:defRPr b="1">
                      <a:solidFill>
                        <a:srgbClr val="FF0000"/>
                      </a:solidFill>
                    </a:defRPr>
                  </a:pPr>
                  <a:endParaRPr lang="da-DK"/>
                </a:p>
              </c:txPr>
              <c:showLegendKey val="0"/>
              <c:showVal val="1"/>
              <c:showCatName val="0"/>
              <c:showSerName val="0"/>
              <c:showPercent val="0"/>
              <c:showBubbleSize val="0"/>
            </c:dLbl>
            <c:dLbl>
              <c:idx val="6"/>
              <c:spPr/>
              <c:txPr>
                <a:bodyPr/>
                <a:lstStyle/>
                <a:p>
                  <a:pPr>
                    <a:defRPr b="1">
                      <a:solidFill>
                        <a:srgbClr val="FF0000"/>
                      </a:solidFill>
                    </a:defRPr>
                  </a:pPr>
                  <a:endParaRPr lang="da-DK"/>
                </a:p>
              </c:txPr>
              <c:showLegendKey val="0"/>
              <c:showVal val="1"/>
              <c:showCatName val="0"/>
              <c:showSerName val="0"/>
              <c:showPercent val="0"/>
              <c:showBubbleSize val="0"/>
            </c:dLbl>
            <c:dLbl>
              <c:idx val="7"/>
              <c:spPr/>
              <c:txPr>
                <a:bodyPr/>
                <a:lstStyle/>
                <a:p>
                  <a:pPr>
                    <a:defRPr b="1">
                      <a:solidFill>
                        <a:srgbClr val="FF0000"/>
                      </a:solidFill>
                    </a:defRPr>
                  </a:pPr>
                  <a:endParaRPr lang="da-DK"/>
                </a:p>
              </c:txPr>
              <c:showLegendKey val="0"/>
              <c:showVal val="1"/>
              <c:showCatName val="0"/>
              <c:showSerName val="0"/>
              <c:showPercent val="0"/>
              <c:showBubbleSize val="0"/>
            </c:dLbl>
            <c:dLbl>
              <c:idx val="8"/>
              <c:spPr/>
              <c:txPr>
                <a:bodyPr/>
                <a:lstStyle/>
                <a:p>
                  <a:pPr>
                    <a:defRPr b="1">
                      <a:solidFill>
                        <a:srgbClr val="FF0000"/>
                      </a:solidFill>
                    </a:defRPr>
                  </a:pPr>
                  <a:endParaRPr lang="da-DK"/>
                </a:p>
              </c:txPr>
              <c:showLegendKey val="0"/>
              <c:showVal val="1"/>
              <c:showCatName val="0"/>
              <c:showSerName val="0"/>
              <c:showPercent val="0"/>
              <c:showBubbleSize val="0"/>
            </c:dLbl>
            <c:showLegendKey val="0"/>
            <c:showVal val="1"/>
            <c:showCatName val="0"/>
            <c:showSerName val="0"/>
            <c:showPercent val="0"/>
            <c:showBubbleSize val="0"/>
            <c:showLeaderLines val="0"/>
          </c:dLbls>
          <c:cat>
            <c:strRef>
              <c:f>'Ark1'!$A$1:$A$9</c:f>
              <c:strCache>
                <c:ptCount val="9"/>
                <c:pt idx="0">
                  <c:v>vandafgift</c:v>
                </c:pt>
                <c:pt idx="1">
                  <c:v>el fælles</c:v>
                </c:pt>
                <c:pt idx="2">
                  <c:v>udgift lån</c:v>
                </c:pt>
                <c:pt idx="3">
                  <c:v>nettokapitaludgifter</c:v>
                </c:pt>
                <c:pt idx="4">
                  <c:v>tab leje</c:v>
                </c:pt>
                <c:pt idx="5">
                  <c:v>løn osv</c:v>
                </c:pt>
                <c:pt idx="6">
                  <c:v>diverse</c:v>
                </c:pt>
                <c:pt idx="7">
                  <c:v>vaskeri</c:v>
                </c:pt>
                <c:pt idx="8">
                  <c:v>renter</c:v>
                </c:pt>
              </c:strCache>
            </c:strRef>
          </c:cat>
          <c:val>
            <c:numRef>
              <c:f>'Ark1'!$B$1:$B$9</c:f>
              <c:numCache>
                <c:formatCode>Standard</c:formatCode>
                <c:ptCount val="9"/>
                <c:pt idx="0">
                  <c:v>-85</c:v>
                </c:pt>
                <c:pt idx="1">
                  <c:v>-68</c:v>
                </c:pt>
                <c:pt idx="2">
                  <c:v>-45</c:v>
                </c:pt>
                <c:pt idx="3">
                  <c:v>-38</c:v>
                </c:pt>
                <c:pt idx="4">
                  <c:v>-30</c:v>
                </c:pt>
                <c:pt idx="5">
                  <c:v>30</c:v>
                </c:pt>
                <c:pt idx="6">
                  <c:v>43</c:v>
                </c:pt>
                <c:pt idx="7">
                  <c:v>52</c:v>
                </c:pt>
                <c:pt idx="8">
                  <c:v>160</c:v>
                </c:pt>
              </c:numCache>
            </c:numRef>
          </c:val>
        </c:ser>
        <c:dLbls>
          <c:showLegendKey val="0"/>
          <c:showVal val="0"/>
          <c:showCatName val="0"/>
          <c:showSerName val="0"/>
          <c:showPercent val="0"/>
          <c:showBubbleSize val="0"/>
        </c:dLbls>
        <c:gapWidth val="150"/>
        <c:axId val="202002432"/>
        <c:axId val="202003968"/>
      </c:barChart>
      <c:catAx>
        <c:axId val="202002432"/>
        <c:scaling>
          <c:orientation val="minMax"/>
        </c:scaling>
        <c:delete val="0"/>
        <c:axPos val="l"/>
        <c:majorTickMark val="none"/>
        <c:minorTickMark val="none"/>
        <c:tickLblPos val="nextTo"/>
        <c:txPr>
          <a:bodyPr/>
          <a:lstStyle/>
          <a:p>
            <a:pPr>
              <a:defRPr sz="1400">
                <a:solidFill>
                  <a:srgbClr val="FF0000"/>
                </a:solidFill>
              </a:defRPr>
            </a:pPr>
            <a:endParaRPr lang="da-DK"/>
          </a:p>
        </c:txPr>
        <c:crossAx val="202003968"/>
        <c:crosses val="autoZero"/>
        <c:auto val="1"/>
        <c:lblAlgn val="ctr"/>
        <c:lblOffset val="100"/>
        <c:noMultiLvlLbl val="0"/>
      </c:catAx>
      <c:valAx>
        <c:axId val="202003968"/>
        <c:scaling>
          <c:orientation val="minMax"/>
        </c:scaling>
        <c:delete val="0"/>
        <c:axPos val="b"/>
        <c:majorGridlines/>
        <c:numFmt formatCode="Standard" sourceLinked="1"/>
        <c:majorTickMark val="none"/>
        <c:minorTickMark val="none"/>
        <c:tickLblPos val="nextTo"/>
        <c:crossAx val="202002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1235</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Rødovre Kommune</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Lawrence Havinden Brooker</dc:creator>
  <cp:lastModifiedBy>Peter Lawrence Havinden Brooker</cp:lastModifiedBy>
  <cp:revision>4</cp:revision>
  <dcterms:created xsi:type="dcterms:W3CDTF">2013-04-29T06:00:00Z</dcterms:created>
  <dcterms:modified xsi:type="dcterms:W3CDTF">2013-04-29T08:42:00Z</dcterms:modified>
</cp:coreProperties>
</file>