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0B" w:rsidRDefault="0090570B" w:rsidP="0090570B">
      <w:pPr>
        <w:jc w:val="center"/>
        <w:rPr>
          <w:rFonts w:ascii="Gill Sans Ultra Bold" w:hAnsi="Gill Sans Ultra Bold"/>
          <w:sz w:val="72"/>
          <w:szCs w:val="72"/>
        </w:rPr>
      </w:pPr>
    </w:p>
    <w:p w:rsidR="0090570B" w:rsidRDefault="0090570B" w:rsidP="0090570B">
      <w:pPr>
        <w:jc w:val="center"/>
        <w:rPr>
          <w:rFonts w:ascii="Gill Sans Ultra Bold" w:hAnsi="Gill Sans Ultra Bold"/>
          <w:sz w:val="72"/>
          <w:szCs w:val="72"/>
        </w:rPr>
      </w:pPr>
      <w:r>
        <w:rPr>
          <w:rFonts w:ascii="Gill Sans Ultra Bold" w:hAnsi="Gill Sans Ultra Bold"/>
          <w:sz w:val="72"/>
          <w:szCs w:val="72"/>
        </w:rPr>
        <w:t>Beretning for 2010-11</w:t>
      </w:r>
    </w:p>
    <w:p w:rsidR="0090570B" w:rsidRDefault="0090570B" w:rsidP="0090570B">
      <w:pPr>
        <w:jc w:val="center"/>
        <w:rPr>
          <w:rFonts w:ascii="Gill Sans Ultra Bold" w:hAnsi="Gill Sans Ultra Bold"/>
          <w:sz w:val="72"/>
          <w:szCs w:val="72"/>
        </w:rPr>
      </w:pPr>
    </w:p>
    <w:p w:rsidR="0090570B" w:rsidRDefault="0090570B" w:rsidP="0090570B">
      <w:pPr>
        <w:jc w:val="center"/>
        <w:rPr>
          <w:rFonts w:ascii="Gill Sans Ultra Bold" w:hAnsi="Gill Sans Ultra Bold"/>
          <w:sz w:val="72"/>
          <w:szCs w:val="72"/>
        </w:rPr>
      </w:pPr>
      <w:r>
        <w:rPr>
          <w:rFonts w:ascii="Gill Sans Ultra Bold" w:hAnsi="Gill Sans Ultra Bold"/>
          <w:sz w:val="72"/>
          <w:szCs w:val="72"/>
        </w:rPr>
        <w:t>Egeparken 1</w:t>
      </w:r>
    </w:p>
    <w:p w:rsidR="0090570B" w:rsidRDefault="0090570B" w:rsidP="0090570B">
      <w:pPr>
        <w:jc w:val="center"/>
        <w:rPr>
          <w:b/>
          <w:sz w:val="52"/>
          <w:szCs w:val="52"/>
        </w:rPr>
      </w:pPr>
    </w:p>
    <w:p w:rsidR="0090570B" w:rsidRDefault="0090570B" w:rsidP="0090570B">
      <w:pPr>
        <w:jc w:val="center"/>
      </w:pPr>
      <w:r>
        <w:rPr>
          <w:noProof/>
          <w:color w:val="0000FF"/>
        </w:rPr>
        <w:drawing>
          <wp:inline distT="0" distB="0" distL="0" distR="0">
            <wp:extent cx="3719830" cy="2874645"/>
            <wp:effectExtent l="0" t="0" r="0" b="1905"/>
            <wp:docPr id="6" name="Billede 6" descr="Tilbage til forsiden">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2927" descr="Tilbage til forside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19830" cy="2874645"/>
                    </a:xfrm>
                    <a:prstGeom prst="rect">
                      <a:avLst/>
                    </a:prstGeom>
                    <a:noFill/>
                    <a:ln>
                      <a:noFill/>
                    </a:ln>
                  </pic:spPr>
                </pic:pic>
              </a:graphicData>
            </a:graphic>
          </wp:inline>
        </w:drawing>
      </w:r>
    </w:p>
    <w:p w:rsidR="0090570B" w:rsidRDefault="0090570B" w:rsidP="0090570B">
      <w:pPr>
        <w:rPr>
          <w:szCs w:val="18"/>
        </w:rPr>
      </w:pPr>
    </w:p>
    <w:p w:rsidR="0090570B" w:rsidRDefault="0090570B" w:rsidP="0090570B">
      <w:pPr>
        <w:rPr>
          <w:szCs w:val="18"/>
        </w:rPr>
      </w:pPr>
    </w:p>
    <w:p w:rsidR="0090570B" w:rsidRDefault="0090570B" w:rsidP="0090570B">
      <w:pPr>
        <w:rPr>
          <w:szCs w:val="18"/>
        </w:rPr>
      </w:pPr>
    </w:p>
    <w:p w:rsidR="0090570B" w:rsidRDefault="0090570B" w:rsidP="0090570B">
      <w:pPr>
        <w:rPr>
          <w:szCs w:val="18"/>
        </w:rPr>
      </w:pPr>
    </w:p>
    <w:p w:rsidR="0090570B" w:rsidRDefault="0090570B" w:rsidP="0090570B">
      <w:pPr>
        <w:rPr>
          <w:szCs w:val="18"/>
        </w:rPr>
      </w:pPr>
    </w:p>
    <w:p w:rsidR="0090570B" w:rsidRDefault="0090570B" w:rsidP="0090570B">
      <w:pPr>
        <w:rPr>
          <w:szCs w:val="18"/>
        </w:rPr>
      </w:pPr>
    </w:p>
    <w:p w:rsidR="0090570B" w:rsidRDefault="0090570B" w:rsidP="0090570B">
      <w:pPr>
        <w:rPr>
          <w:szCs w:val="18"/>
        </w:rPr>
      </w:pPr>
    </w:p>
    <w:p w:rsidR="0090570B" w:rsidRDefault="0090570B" w:rsidP="0090570B">
      <w:pPr>
        <w:rPr>
          <w:szCs w:val="18"/>
        </w:rPr>
      </w:pPr>
    </w:p>
    <w:p w:rsidR="0090570B" w:rsidRDefault="0090570B" w:rsidP="0090570B">
      <w:pPr>
        <w:rPr>
          <w:szCs w:val="18"/>
        </w:rPr>
      </w:pPr>
    </w:p>
    <w:p w:rsidR="0090570B" w:rsidRDefault="0090570B" w:rsidP="0090570B">
      <w:pPr>
        <w:rPr>
          <w:szCs w:val="18"/>
        </w:rPr>
      </w:pPr>
    </w:p>
    <w:p w:rsidR="0090570B" w:rsidRDefault="0090570B" w:rsidP="0090570B">
      <w:pPr>
        <w:rPr>
          <w:szCs w:val="18"/>
        </w:rPr>
      </w:pPr>
    </w:p>
    <w:p w:rsidR="0090570B" w:rsidRDefault="0090570B" w:rsidP="0090570B">
      <w:pPr>
        <w:rPr>
          <w:szCs w:val="18"/>
        </w:rPr>
      </w:pPr>
    </w:p>
    <w:p w:rsidR="0090570B" w:rsidRDefault="0090570B" w:rsidP="0090570B">
      <w:pPr>
        <w:rPr>
          <w:szCs w:val="18"/>
        </w:rPr>
      </w:pPr>
    </w:p>
    <w:p w:rsidR="0090570B" w:rsidRDefault="0090570B" w:rsidP="0090570B">
      <w:pPr>
        <w:rPr>
          <w:szCs w:val="18"/>
        </w:rPr>
      </w:pPr>
    </w:p>
    <w:p w:rsidR="0090570B" w:rsidRDefault="0090570B" w:rsidP="0090570B">
      <w:pPr>
        <w:rPr>
          <w:szCs w:val="18"/>
        </w:rPr>
      </w:pPr>
      <w:r>
        <w:rPr>
          <w:szCs w:val="18"/>
        </w:rPr>
        <w:t>Afdelingsmødet den 26-4-11</w:t>
      </w:r>
    </w:p>
    <w:p w:rsidR="0090570B" w:rsidRDefault="0090570B" w:rsidP="0090570B">
      <w:pPr>
        <w:numPr>
          <w:ilvl w:val="0"/>
          <w:numId w:val="1"/>
        </w:numPr>
        <w:rPr>
          <w:b/>
          <w:szCs w:val="18"/>
        </w:rPr>
      </w:pPr>
      <w:r>
        <w:rPr>
          <w:szCs w:val="18"/>
        </w:rPr>
        <w:br w:type="page"/>
      </w:r>
      <w:r>
        <w:rPr>
          <w:b/>
          <w:szCs w:val="18"/>
        </w:rPr>
        <w:lastRenderedPageBreak/>
        <w:t xml:space="preserve">Opsparing, </w:t>
      </w:r>
      <w:proofErr w:type="spellStart"/>
      <w:r>
        <w:rPr>
          <w:b/>
          <w:szCs w:val="18"/>
        </w:rPr>
        <w:t>boilerrum</w:t>
      </w:r>
      <w:proofErr w:type="spellEnd"/>
      <w:r>
        <w:rPr>
          <w:b/>
          <w:szCs w:val="18"/>
        </w:rPr>
        <w:t xml:space="preserve"> og fjernvarme.</w:t>
      </w:r>
    </w:p>
    <w:p w:rsidR="0090570B" w:rsidRDefault="0090570B" w:rsidP="0090570B">
      <w:pPr>
        <w:rPr>
          <w:szCs w:val="18"/>
        </w:rPr>
      </w:pPr>
    </w:p>
    <w:p w:rsidR="0090570B" w:rsidRDefault="0090570B" w:rsidP="0090570B">
      <w:pPr>
        <w:rPr>
          <w:szCs w:val="18"/>
        </w:rPr>
      </w:pPr>
      <w:r>
        <w:rPr>
          <w:szCs w:val="18"/>
        </w:rPr>
        <w:t xml:space="preserve">Opsparing til </w:t>
      </w:r>
      <w:proofErr w:type="spellStart"/>
      <w:r>
        <w:rPr>
          <w:szCs w:val="18"/>
        </w:rPr>
        <w:t>boilerrum</w:t>
      </w:r>
      <w:proofErr w:type="spellEnd"/>
      <w:r>
        <w:rPr>
          <w:szCs w:val="18"/>
        </w:rPr>
        <w:t xml:space="preserve"> fortsætter i år og i næste års budgetforslag. Huslejen er forhøjet en del de senere år, 42 % af stigning i de sidste 5 år er til nye </w:t>
      </w:r>
      <w:proofErr w:type="spellStart"/>
      <w:r>
        <w:rPr>
          <w:szCs w:val="18"/>
        </w:rPr>
        <w:t>boilerrum</w:t>
      </w:r>
      <w:proofErr w:type="spellEnd"/>
      <w:r>
        <w:rPr>
          <w:szCs w:val="18"/>
        </w:rPr>
        <w:t xml:space="preserve">. Der er nu udsigt til, at der vil komme nye </w:t>
      </w:r>
      <w:proofErr w:type="spellStart"/>
      <w:r>
        <w:rPr>
          <w:szCs w:val="18"/>
        </w:rPr>
        <w:t>boilerrum</w:t>
      </w:r>
      <w:proofErr w:type="spellEnd"/>
      <w:r>
        <w:rPr>
          <w:szCs w:val="18"/>
        </w:rPr>
        <w:t xml:space="preserve"> indenfor få måneder. Som det ser ud nu, vil de 15 </w:t>
      </w:r>
      <w:proofErr w:type="spellStart"/>
      <w:r>
        <w:rPr>
          <w:szCs w:val="18"/>
        </w:rPr>
        <w:t>boilerrum</w:t>
      </w:r>
      <w:proofErr w:type="spellEnd"/>
      <w:r>
        <w:rPr>
          <w:szCs w:val="18"/>
        </w:rPr>
        <w:t xml:space="preserve"> i hver opgang blive erstattet af 1 </w:t>
      </w:r>
      <w:proofErr w:type="spellStart"/>
      <w:r>
        <w:rPr>
          <w:szCs w:val="18"/>
        </w:rPr>
        <w:t>boilerrum</w:t>
      </w:r>
      <w:proofErr w:type="spellEnd"/>
      <w:r>
        <w:rPr>
          <w:szCs w:val="18"/>
        </w:rPr>
        <w:t xml:space="preserve"> placeret i blok 2 (den </w:t>
      </w:r>
      <w:proofErr w:type="gramStart"/>
      <w:r>
        <w:rPr>
          <w:szCs w:val="18"/>
        </w:rPr>
        <w:t>midterste) .</w:t>
      </w:r>
      <w:proofErr w:type="gramEnd"/>
    </w:p>
    <w:p w:rsidR="0090570B" w:rsidRDefault="0090570B" w:rsidP="0090570B">
      <w:pPr>
        <w:rPr>
          <w:szCs w:val="18"/>
        </w:rPr>
      </w:pPr>
    </w:p>
    <w:p w:rsidR="0090570B" w:rsidRDefault="0090570B" w:rsidP="0090570B">
      <w:pPr>
        <w:rPr>
          <w:szCs w:val="18"/>
        </w:rPr>
      </w:pPr>
      <w:r>
        <w:rPr>
          <w:szCs w:val="18"/>
        </w:rPr>
        <w:t xml:space="preserve">Der er yderligere kommet det til, at det nu ser ud til, at vi kan blive tilsluttet fjernvarme. Oprindelig var planen at det kunne ske fra 2014, men nu peger pilen på 2012. </w:t>
      </w:r>
    </w:p>
    <w:p w:rsidR="0090570B" w:rsidRDefault="0090570B" w:rsidP="0090570B">
      <w:pPr>
        <w:rPr>
          <w:szCs w:val="18"/>
        </w:rPr>
      </w:pPr>
    </w:p>
    <w:p w:rsidR="0090570B" w:rsidRDefault="0090570B" w:rsidP="0090570B">
      <w:pPr>
        <w:rPr>
          <w:szCs w:val="18"/>
        </w:rPr>
      </w:pPr>
      <w:r>
        <w:rPr>
          <w:szCs w:val="18"/>
        </w:rPr>
        <w:t xml:space="preserve">Det med at vi kan få allerede i 2012 er sket meget hurtigt så økonomiplanerne er ikke på plads endnu. Det kan ikke afvises, at der vil skulle ske yderligere huslejestigning for at finansiere tilslutningen, men til gengæld vil der komme en besparelse på varmeregningen. </w:t>
      </w:r>
    </w:p>
    <w:p w:rsidR="0090570B" w:rsidRDefault="0090570B" w:rsidP="0090570B">
      <w:pPr>
        <w:rPr>
          <w:szCs w:val="18"/>
        </w:rPr>
      </w:pPr>
    </w:p>
    <w:p w:rsidR="0090570B" w:rsidRDefault="0090570B" w:rsidP="0090570B">
      <w:pPr>
        <w:rPr>
          <w:szCs w:val="18"/>
        </w:rPr>
      </w:pPr>
      <w:r>
        <w:rPr>
          <w:szCs w:val="18"/>
        </w:rPr>
        <w:t xml:space="preserve">Der vil komme et ekstraordinært beboermøde indenfor nogle måneder, hvor økonomien vil være klargjort i de nødvendige detaljer. </w:t>
      </w:r>
    </w:p>
    <w:p w:rsidR="0090570B" w:rsidRDefault="0090570B" w:rsidP="0090570B">
      <w:pPr>
        <w:rPr>
          <w:szCs w:val="18"/>
        </w:rPr>
      </w:pPr>
    </w:p>
    <w:p w:rsidR="0090570B" w:rsidRDefault="0090570B" w:rsidP="0090570B"/>
    <w:p w:rsidR="0090570B" w:rsidRDefault="0090570B" w:rsidP="0090570B">
      <w:pPr>
        <w:numPr>
          <w:ilvl w:val="0"/>
          <w:numId w:val="1"/>
        </w:numPr>
        <w:rPr>
          <w:b/>
        </w:rPr>
      </w:pPr>
      <w:r>
        <w:rPr>
          <w:b/>
        </w:rPr>
        <w:t>Husorden.</w:t>
      </w:r>
    </w:p>
    <w:p w:rsidR="0090570B" w:rsidRDefault="0090570B" w:rsidP="0090570B"/>
    <w:p w:rsidR="0090570B" w:rsidRDefault="0090570B" w:rsidP="0090570B">
      <w:r>
        <w:t xml:space="preserve">Husordenen blev jo vedtaget i august 2009. Der var her indeholdt et forbud mod visse hunderacer hvor bestyrelsen skulle vurdere hundene </w:t>
      </w:r>
      <w:proofErr w:type="spellStart"/>
      <w:r>
        <w:t>udfra</w:t>
      </w:r>
      <w:proofErr w:type="spellEnd"/>
      <w:r>
        <w:t xml:space="preserve"> eventuelt materiale fra Dansk Kennel Klub eller lovgivning. Lovforslag blev fremsat i Folketinget 17 marts 2010 og vedtaget den 3. juni 201</w:t>
      </w:r>
      <w:r w:rsidR="007C4116">
        <w:t>0</w:t>
      </w:r>
      <w:bookmarkStart w:id="0" w:name="_GoBack"/>
      <w:bookmarkEnd w:id="0"/>
      <w:r>
        <w:t xml:space="preserve">. Der blev derfor indkaldt til ekstraordinært beboer møde i august 2010 hvor husordenen blev ændret således at de nævnte hunderacer blev nævnt i bilag til husordenen. Man kan nu derfor se det direkte i husordenen om ens hund er omfattet af </w:t>
      </w:r>
      <w:proofErr w:type="spellStart"/>
      <w:r>
        <w:t>forbudet</w:t>
      </w:r>
      <w:proofErr w:type="spellEnd"/>
      <w:r>
        <w:t xml:space="preserve"> uden at skulle spørge bestyrelsen som i den </w:t>
      </w:r>
      <w:proofErr w:type="gramStart"/>
      <w:r>
        <w:t>oprindelige  husorden</w:t>
      </w:r>
      <w:proofErr w:type="gramEnd"/>
      <w:r>
        <w:t xml:space="preserve">.  Men man skal selvfølgelig alligevel søge om tilladelse. Husorden findes på </w:t>
      </w:r>
      <w:r>
        <w:rPr>
          <w:b/>
        </w:rPr>
        <w:t>www.egeparken.eu</w:t>
      </w:r>
      <w:r>
        <w:t>.</w:t>
      </w:r>
    </w:p>
    <w:p w:rsidR="0090570B" w:rsidRDefault="0090570B" w:rsidP="0090570B"/>
    <w:p w:rsidR="0090570B" w:rsidRDefault="0090570B" w:rsidP="0090570B">
      <w:pPr>
        <w:numPr>
          <w:ilvl w:val="0"/>
          <w:numId w:val="1"/>
        </w:numPr>
        <w:rPr>
          <w:b/>
        </w:rPr>
      </w:pPr>
      <w:r>
        <w:rPr>
          <w:b/>
        </w:rPr>
        <w:t>Fester.</w:t>
      </w:r>
    </w:p>
    <w:p w:rsidR="0090570B" w:rsidRDefault="0090570B" w:rsidP="0090570B">
      <w:pPr>
        <w:rPr>
          <w:b/>
        </w:rPr>
      </w:pPr>
    </w:p>
    <w:p w:rsidR="0090570B" w:rsidRDefault="0090570B" w:rsidP="0090570B">
      <w:r>
        <w:t xml:space="preserve">Fastelavnsfesten blev afholdt med god tilslutning. Der var 66 børn der fik ”numre” Bestyrelsen savner deltagelse fra beboerne til at forberede og gennemføre festen. Vi er ikke en festkomite. </w:t>
      </w:r>
    </w:p>
    <w:p w:rsidR="0090570B" w:rsidRDefault="0090570B" w:rsidP="0090570B"/>
    <w:p w:rsidR="0090570B" w:rsidRDefault="0090570B" w:rsidP="0090570B"/>
    <w:p w:rsidR="0090570B" w:rsidRDefault="0090570B" w:rsidP="0090570B">
      <w:pPr>
        <w:numPr>
          <w:ilvl w:val="0"/>
          <w:numId w:val="1"/>
        </w:numPr>
        <w:rPr>
          <w:b/>
        </w:rPr>
      </w:pPr>
      <w:r>
        <w:rPr>
          <w:b/>
        </w:rPr>
        <w:t xml:space="preserve">Kælderudlejning og beboeraktiviteter, herunder nye klubber. </w:t>
      </w:r>
    </w:p>
    <w:p w:rsidR="0090570B" w:rsidRDefault="0090570B" w:rsidP="0090570B">
      <w:pPr>
        <w:rPr>
          <w:b/>
        </w:rPr>
      </w:pPr>
    </w:p>
    <w:p w:rsidR="0090570B" w:rsidRDefault="0090570B" w:rsidP="0090570B">
      <w:r>
        <w:t xml:space="preserve">Søren udlejer lokaler på livet løs og der er hele tiden nogen der skal have nye kælderrum. Det ses af, at der har været rigtig mange indflyttere de seneste år. Der er ved at blive oprettet nye klubber, Der vil blive opslag når de starter og der vil komme oplysninger herom på hjemmesiden, </w:t>
      </w:r>
      <w:hyperlink r:id="rId9" w:history="1">
        <w:r>
          <w:rPr>
            <w:rStyle w:val="Hyperlink"/>
          </w:rPr>
          <w:t>www.egeparken</w:t>
        </w:r>
      </w:hyperlink>
      <w:r>
        <w:t xml:space="preserve">.eu  . </w:t>
      </w:r>
    </w:p>
    <w:p w:rsidR="0090570B" w:rsidRDefault="0090570B" w:rsidP="0090570B"/>
    <w:p w:rsidR="0090570B" w:rsidRDefault="0090570B" w:rsidP="0090570B">
      <w:r>
        <w:t xml:space="preserve">Christian og Lisbeth i </w:t>
      </w:r>
      <w:proofErr w:type="spellStart"/>
      <w:r>
        <w:t>nr</w:t>
      </w:r>
      <w:proofErr w:type="spellEnd"/>
      <w:r>
        <w:t xml:space="preserve"> 29 har gjort en kanon indsats med at indrette </w:t>
      </w:r>
      <w:proofErr w:type="spellStart"/>
      <w:r>
        <w:t>bordtennnis</w:t>
      </w:r>
      <w:proofErr w:type="spellEnd"/>
      <w:r>
        <w:t xml:space="preserve"> med </w:t>
      </w:r>
      <w:proofErr w:type="spellStart"/>
      <w:r>
        <w:t>poolbord</w:t>
      </w:r>
      <w:proofErr w:type="spellEnd"/>
      <w:r>
        <w:t xml:space="preserve"> og det hele. Se ned i </w:t>
      </w:r>
      <w:proofErr w:type="spellStart"/>
      <w:r>
        <w:t>nr</w:t>
      </w:r>
      <w:proofErr w:type="spellEnd"/>
      <w:r>
        <w:t xml:space="preserve"> 27 og nyd deres smukke arbejde. </w:t>
      </w:r>
      <w:proofErr w:type="spellStart"/>
      <w:r>
        <w:t>Hurrah</w:t>
      </w:r>
      <w:proofErr w:type="spellEnd"/>
      <w:r>
        <w:t xml:space="preserve">.  Cykelklub er ligeledes i gang og der vil komme opslag herom. </w:t>
      </w:r>
    </w:p>
    <w:p w:rsidR="0090570B" w:rsidRDefault="0090570B" w:rsidP="0090570B"/>
    <w:p w:rsidR="0090570B" w:rsidRDefault="0090570B" w:rsidP="0090570B"/>
    <w:p w:rsidR="0090570B" w:rsidRDefault="0090570B" w:rsidP="0090570B"/>
    <w:p w:rsidR="0090570B" w:rsidRDefault="0090570B" w:rsidP="0090570B">
      <w:pPr>
        <w:rPr>
          <w:b/>
        </w:rPr>
      </w:pPr>
      <w:r>
        <w:lastRenderedPageBreak/>
        <w:t xml:space="preserve">5. </w:t>
      </w:r>
      <w:r>
        <w:rPr>
          <w:b/>
        </w:rPr>
        <w:t>Klagesager.</w:t>
      </w:r>
    </w:p>
    <w:p w:rsidR="0090570B" w:rsidRDefault="0090570B" w:rsidP="0090570B"/>
    <w:p w:rsidR="0090570B" w:rsidRDefault="0090570B" w:rsidP="0090570B">
      <w:r>
        <w:t xml:space="preserve">Der har været en del klager i året løb. Der er nu et nyt klageskema udarbejdet af selskabet. Det skal benyttes af alle klagere og er et fortrinligt skema, der viser lige hvad man skal gøre hvis man vil klage. Det anbefales dog, at man snakker om det i opgangen først, hvis dette kan lade sig gøre. Skemaet er på hjemmesiden www.egeparken.eu   under punktet </w:t>
      </w:r>
      <w:r>
        <w:rPr>
          <w:b/>
        </w:rPr>
        <w:t>husorden og råderet.</w:t>
      </w:r>
      <w:r>
        <w:t xml:space="preserve"> </w:t>
      </w:r>
    </w:p>
    <w:p w:rsidR="0090570B" w:rsidRDefault="0090570B" w:rsidP="0090570B"/>
    <w:p w:rsidR="0090570B" w:rsidRDefault="0090570B" w:rsidP="0090570B">
      <w:r>
        <w:t xml:space="preserve">Der har været flere klager over børns adfærd. Det drejer sig om mindre børn, der står tidligt op og hopper og løber rundt. Bestyrelsen vil udarbejde en vejledning. På den ene side skal der jo være plads til børn på den anden side skal andre jo også være her. Der skal findes en balance. </w:t>
      </w:r>
    </w:p>
    <w:p w:rsidR="0090570B" w:rsidRDefault="0090570B" w:rsidP="0090570B"/>
    <w:p w:rsidR="0090570B" w:rsidRDefault="0090570B" w:rsidP="0090570B"/>
    <w:p w:rsidR="0090570B" w:rsidRDefault="0090570B" w:rsidP="0090570B">
      <w:pPr>
        <w:ind w:left="360"/>
        <w:rPr>
          <w:b/>
        </w:rPr>
      </w:pPr>
      <w:r>
        <w:rPr>
          <w:b/>
        </w:rPr>
        <w:t>6. køkkener.</w:t>
      </w:r>
    </w:p>
    <w:p w:rsidR="0090570B" w:rsidRDefault="0090570B" w:rsidP="0090570B"/>
    <w:p w:rsidR="0090570B" w:rsidRDefault="0090570B" w:rsidP="0090570B">
      <w:r>
        <w:t xml:space="preserve">Arbejdet med at få nye køkkener ser nu ud til at kunne tage fart. Det har jo taget årevis til trods for at beboerne klart har vedtaget, at der skal komme nye køkkener ved indflytning. Men nu ser det ud til at der endelig vil ske noget også for dem der bor her allerede. Forstået på den måde at det vil blive lettere at få adgang til at optage lån via råderetten.  </w:t>
      </w:r>
      <w:proofErr w:type="gramStart"/>
      <w:r>
        <w:t>Søren  har</w:t>
      </w:r>
      <w:proofErr w:type="gramEnd"/>
      <w:r>
        <w:t xml:space="preserve"> fået god kontakt med ny inspektør så nu forventer vi, at der endelig vil ske noget. </w:t>
      </w:r>
    </w:p>
    <w:p w:rsidR="0090570B" w:rsidRDefault="0090570B" w:rsidP="0090570B">
      <w:r>
        <w:br w:type="page"/>
      </w:r>
    </w:p>
    <w:p w:rsidR="0090570B" w:rsidRDefault="0090570B" w:rsidP="0090570B"/>
    <w:p w:rsidR="0090570B" w:rsidRDefault="0090570B" w:rsidP="0090570B"/>
    <w:p w:rsidR="0090570B" w:rsidRDefault="0090570B" w:rsidP="0090570B">
      <w:pPr>
        <w:rPr>
          <w:b/>
          <w:sz w:val="28"/>
          <w:szCs w:val="28"/>
        </w:rPr>
      </w:pPr>
      <w:r>
        <w:rPr>
          <w:b/>
          <w:sz w:val="28"/>
          <w:szCs w:val="28"/>
        </w:rPr>
        <w:t xml:space="preserve"> 7. Notat vedrørende budgetforslag 2011/12</w:t>
      </w:r>
    </w:p>
    <w:p w:rsidR="0090570B" w:rsidRDefault="0090570B" w:rsidP="0090570B">
      <w:pPr>
        <w:rPr>
          <w:b/>
          <w:sz w:val="28"/>
          <w:szCs w:val="28"/>
        </w:rPr>
      </w:pPr>
    </w:p>
    <w:p w:rsidR="0090570B" w:rsidRDefault="0090570B" w:rsidP="0090570B">
      <w:pPr>
        <w:ind w:left="1134"/>
        <w:rPr>
          <w:b/>
        </w:rPr>
      </w:pPr>
      <w:proofErr w:type="spellStart"/>
      <w:r>
        <w:rPr>
          <w:b/>
        </w:rPr>
        <w:t>A</w:t>
      </w:r>
      <w:proofErr w:type="gramStart"/>
      <w:r>
        <w:rPr>
          <w:b/>
        </w:rPr>
        <w:t>.Poster</w:t>
      </w:r>
      <w:proofErr w:type="spellEnd"/>
      <w:proofErr w:type="gramEnd"/>
      <w:r>
        <w:rPr>
          <w:b/>
        </w:rPr>
        <w:t xml:space="preserve"> der får budget til at stige.</w:t>
      </w:r>
    </w:p>
    <w:p w:rsidR="0090570B" w:rsidRDefault="0090570B" w:rsidP="0090570B"/>
    <w:p w:rsidR="0090570B" w:rsidRDefault="0090570B" w:rsidP="0090570B">
      <w:r>
        <w:t xml:space="preserve">Der er her kun medtaget konti, der bidrager med mere end 25.000 </w:t>
      </w:r>
      <w:proofErr w:type="spellStart"/>
      <w:r>
        <w:t>kr</w:t>
      </w:r>
      <w:proofErr w:type="spellEnd"/>
      <w:r>
        <w:t xml:space="preserve"> til stigningen. Det er for at undgå de rene bagateller, ikke mindst set i lyset af at det samlede budget er på </w:t>
      </w:r>
      <w:proofErr w:type="spellStart"/>
      <w:r>
        <w:t>overt</w:t>
      </w:r>
      <w:proofErr w:type="spellEnd"/>
      <w:r>
        <w:t xml:space="preserve"> 10 mio. kr.  </w:t>
      </w:r>
      <w:proofErr w:type="gramStart"/>
      <w:r>
        <w:t>Der  foreslås</w:t>
      </w:r>
      <w:proofErr w:type="gramEnd"/>
      <w:r>
        <w:t xml:space="preserve">  en stigning på 337.000 kr. eller 3,7 %. En oversigt viser, at der er 6 konti, der efter forslaget bidrager til stigningen med mere end 25.000 kr. Det gælder både plus og minus penge.</w:t>
      </w:r>
    </w:p>
    <w:p w:rsidR="0090570B" w:rsidRDefault="0090570B" w:rsidP="0090570B"/>
    <w:p w:rsidR="0090570B" w:rsidRDefault="0090570B" w:rsidP="0090570B">
      <w:pPr>
        <w:rPr>
          <w:b/>
        </w:rPr>
      </w:pPr>
      <w:r>
        <w:rPr>
          <w:b/>
        </w:rPr>
        <w:t>Tabel 1. Konti, hvor der foreslås ændringer på mere end 25.000 kr.</w:t>
      </w:r>
    </w:p>
    <w:p w:rsidR="0090570B" w:rsidRDefault="0090570B" w:rsidP="0090570B">
      <w:pPr>
        <w:rPr>
          <w:b/>
        </w:rPr>
      </w:pPr>
    </w:p>
    <w:tbl>
      <w:tblPr>
        <w:tblW w:w="6900" w:type="dxa"/>
        <w:tblInd w:w="65" w:type="dxa"/>
        <w:tblCellMar>
          <w:left w:w="70" w:type="dxa"/>
          <w:right w:w="70" w:type="dxa"/>
        </w:tblCellMar>
        <w:tblLook w:val="04A0" w:firstRow="1" w:lastRow="0" w:firstColumn="1" w:lastColumn="0" w:noHBand="0" w:noVBand="1"/>
      </w:tblPr>
      <w:tblGrid>
        <w:gridCol w:w="3280"/>
        <w:gridCol w:w="2020"/>
        <w:gridCol w:w="1600"/>
      </w:tblGrid>
      <w:tr w:rsidR="0090570B" w:rsidTr="0090570B">
        <w:trPr>
          <w:trHeight w:val="300"/>
        </w:trPr>
        <w:tc>
          <w:tcPr>
            <w:tcW w:w="3280" w:type="dxa"/>
            <w:tcBorders>
              <w:top w:val="single" w:sz="4" w:space="0" w:color="auto"/>
              <w:left w:val="single" w:sz="4" w:space="0" w:color="auto"/>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art</w:t>
            </w:r>
          </w:p>
        </w:tc>
        <w:tc>
          <w:tcPr>
            <w:tcW w:w="2020" w:type="dxa"/>
            <w:tcBorders>
              <w:top w:val="single" w:sz="4" w:space="0" w:color="auto"/>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 xml:space="preserve">ændring i tusinde </w:t>
            </w:r>
            <w:proofErr w:type="spellStart"/>
            <w:r>
              <w:rPr>
                <w:rFonts w:ascii="Calibri" w:hAnsi="Calibri"/>
                <w:color w:val="000000"/>
                <w:sz w:val="22"/>
                <w:szCs w:val="22"/>
              </w:rPr>
              <w:t>kr</w:t>
            </w:r>
            <w:proofErr w:type="spellEnd"/>
          </w:p>
        </w:tc>
        <w:tc>
          <w:tcPr>
            <w:tcW w:w="1600" w:type="dxa"/>
            <w:tcBorders>
              <w:top w:val="single" w:sz="4" w:space="0" w:color="auto"/>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 af forhøjelsen</w:t>
            </w:r>
          </w:p>
        </w:tc>
      </w:tr>
      <w:tr w:rsidR="0090570B" w:rsidTr="0090570B">
        <w:trPr>
          <w:trHeight w:val="300"/>
        </w:trPr>
        <w:tc>
          <w:tcPr>
            <w:tcW w:w="3280" w:type="dxa"/>
            <w:tcBorders>
              <w:top w:val="nil"/>
              <w:left w:val="single" w:sz="4" w:space="0" w:color="auto"/>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vandafgift</w:t>
            </w:r>
          </w:p>
        </w:tc>
        <w:tc>
          <w:tcPr>
            <w:tcW w:w="202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-271</w:t>
            </w:r>
          </w:p>
        </w:tc>
        <w:tc>
          <w:tcPr>
            <w:tcW w:w="160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-2,97</w:t>
            </w:r>
          </w:p>
        </w:tc>
      </w:tr>
      <w:tr w:rsidR="0090570B" w:rsidTr="0090570B">
        <w:trPr>
          <w:trHeight w:val="300"/>
        </w:trPr>
        <w:tc>
          <w:tcPr>
            <w:tcW w:w="3280" w:type="dxa"/>
            <w:tcBorders>
              <w:top w:val="nil"/>
              <w:left w:val="single" w:sz="4" w:space="0" w:color="auto"/>
              <w:bottom w:val="single" w:sz="4" w:space="0" w:color="auto"/>
              <w:right w:val="single" w:sz="4" w:space="0" w:color="auto"/>
            </w:tcBorders>
            <w:noWrap/>
            <w:vAlign w:val="bottom"/>
            <w:hideMark/>
          </w:tcPr>
          <w:p w:rsidR="0090570B" w:rsidRDefault="0090570B">
            <w:pPr>
              <w:rPr>
                <w:rFonts w:ascii="Calibri" w:hAnsi="Calibri"/>
                <w:color w:val="000000"/>
                <w:sz w:val="22"/>
                <w:szCs w:val="22"/>
              </w:rPr>
            </w:pPr>
            <w:proofErr w:type="spellStart"/>
            <w:r>
              <w:rPr>
                <w:rFonts w:ascii="Calibri" w:hAnsi="Calibri"/>
                <w:color w:val="000000"/>
                <w:sz w:val="22"/>
                <w:szCs w:val="22"/>
              </w:rPr>
              <w:t>istand</w:t>
            </w:r>
            <w:proofErr w:type="spellEnd"/>
            <w:r>
              <w:rPr>
                <w:rFonts w:ascii="Calibri" w:hAnsi="Calibri"/>
                <w:color w:val="000000"/>
                <w:sz w:val="22"/>
                <w:szCs w:val="22"/>
              </w:rPr>
              <w:t xml:space="preserve"> ved fraflytning</w:t>
            </w:r>
          </w:p>
        </w:tc>
        <w:tc>
          <w:tcPr>
            <w:tcW w:w="202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-65</w:t>
            </w:r>
          </w:p>
        </w:tc>
        <w:tc>
          <w:tcPr>
            <w:tcW w:w="160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-0,71</w:t>
            </w:r>
          </w:p>
        </w:tc>
      </w:tr>
      <w:tr w:rsidR="0090570B" w:rsidTr="0090570B">
        <w:trPr>
          <w:trHeight w:val="300"/>
        </w:trPr>
        <w:tc>
          <w:tcPr>
            <w:tcW w:w="3280" w:type="dxa"/>
            <w:tcBorders>
              <w:top w:val="nil"/>
              <w:left w:val="single" w:sz="4" w:space="0" w:color="auto"/>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renteindtægter</w:t>
            </w:r>
          </w:p>
        </w:tc>
        <w:tc>
          <w:tcPr>
            <w:tcW w:w="202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29</w:t>
            </w:r>
          </w:p>
        </w:tc>
        <w:tc>
          <w:tcPr>
            <w:tcW w:w="160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-0,32</w:t>
            </w:r>
          </w:p>
        </w:tc>
      </w:tr>
      <w:tr w:rsidR="0090570B" w:rsidTr="0090570B">
        <w:trPr>
          <w:trHeight w:val="300"/>
        </w:trPr>
        <w:tc>
          <w:tcPr>
            <w:tcW w:w="3280" w:type="dxa"/>
            <w:tcBorders>
              <w:top w:val="nil"/>
              <w:left w:val="single" w:sz="4" w:space="0" w:color="auto"/>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lån og renter og ejendomsskatter</w:t>
            </w:r>
          </w:p>
        </w:tc>
        <w:tc>
          <w:tcPr>
            <w:tcW w:w="202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79</w:t>
            </w:r>
          </w:p>
        </w:tc>
        <w:tc>
          <w:tcPr>
            <w:tcW w:w="160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0,87</w:t>
            </w:r>
          </w:p>
        </w:tc>
      </w:tr>
      <w:tr w:rsidR="0090570B" w:rsidTr="0090570B">
        <w:trPr>
          <w:trHeight w:val="300"/>
        </w:trPr>
        <w:tc>
          <w:tcPr>
            <w:tcW w:w="3280" w:type="dxa"/>
            <w:tcBorders>
              <w:top w:val="nil"/>
              <w:left w:val="single" w:sz="4" w:space="0" w:color="auto"/>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korrektion</w:t>
            </w:r>
          </w:p>
        </w:tc>
        <w:tc>
          <w:tcPr>
            <w:tcW w:w="202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191</w:t>
            </w:r>
          </w:p>
        </w:tc>
        <w:tc>
          <w:tcPr>
            <w:tcW w:w="160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2,1</w:t>
            </w:r>
          </w:p>
        </w:tc>
      </w:tr>
      <w:tr w:rsidR="0090570B" w:rsidTr="0090570B">
        <w:trPr>
          <w:trHeight w:val="300"/>
        </w:trPr>
        <w:tc>
          <w:tcPr>
            <w:tcW w:w="3280" w:type="dxa"/>
            <w:tcBorders>
              <w:top w:val="nil"/>
              <w:left w:val="single" w:sz="4" w:space="0" w:color="auto"/>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henlæggelser</w:t>
            </w:r>
          </w:p>
        </w:tc>
        <w:tc>
          <w:tcPr>
            <w:tcW w:w="202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400</w:t>
            </w:r>
          </w:p>
        </w:tc>
        <w:tc>
          <w:tcPr>
            <w:tcW w:w="160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4,39</w:t>
            </w:r>
          </w:p>
        </w:tc>
      </w:tr>
    </w:tbl>
    <w:p w:rsidR="0090570B" w:rsidRDefault="0090570B" w:rsidP="0090570B">
      <w:r>
        <w:t>I sammentrængt form kan dette vises i figur 1.</w:t>
      </w:r>
    </w:p>
    <w:p w:rsidR="0090570B" w:rsidRDefault="0090570B" w:rsidP="0090570B"/>
    <w:p w:rsidR="0090570B" w:rsidRDefault="0090570B" w:rsidP="0090570B">
      <w:r>
        <w:t xml:space="preserve">Kommunen har i år ændret vandpriserne, således at vi nu kan regne med et fald i udgift til vand.  Der har været mindre udgifter til istandsættelser ved fraflytning så der kan henlægges mindre. Renteindtægter skønnes at blive lidt højere. </w:t>
      </w:r>
    </w:p>
    <w:p w:rsidR="0090570B" w:rsidRDefault="0090570B" w:rsidP="0090570B"/>
    <w:p w:rsidR="0090570B" w:rsidRDefault="0090570B" w:rsidP="0090570B">
      <w:r>
        <w:t xml:space="preserve">Til gengæld stiger vores kapitaludgifter altså til renter og afdrag og vores ejendomsskatter. En korrektion vi fik sidste år som en engangsindtægt falder væk og det betyder selvfølgelig mindre </w:t>
      </w:r>
      <w:proofErr w:type="spellStart"/>
      <w:r>
        <w:t>indtægeter</w:t>
      </w:r>
      <w:proofErr w:type="spellEnd"/>
      <w:r>
        <w:t xml:space="preserve"> svarend til over 2 %. Den helt store post er henlæggelser hvor vi fra bestyrelsen jo ønsker at kunne finansiere </w:t>
      </w:r>
      <w:proofErr w:type="spellStart"/>
      <w:r>
        <w:t>boilerrum</w:t>
      </w:r>
      <w:proofErr w:type="spellEnd"/>
      <w:r>
        <w:t xml:space="preserve"> med så lidt låneoptagelse som muligt. Disse forhold kan illustreres i sammentrængt form i figur 1.</w:t>
      </w:r>
    </w:p>
    <w:p w:rsidR="0090570B" w:rsidRDefault="0090570B" w:rsidP="0090570B"/>
    <w:p w:rsidR="0090570B" w:rsidRDefault="0090570B" w:rsidP="0090570B">
      <w:pPr>
        <w:rPr>
          <w:b/>
        </w:rPr>
      </w:pPr>
      <w:r>
        <w:rPr>
          <w:b/>
        </w:rPr>
        <w:t>Figur 1. Konti, hvor der foreslås ændringer på mere end 25.000 kr. Procent af huslejestigning</w:t>
      </w:r>
    </w:p>
    <w:p w:rsidR="0090570B" w:rsidRDefault="0090570B" w:rsidP="0090570B">
      <w:pPr>
        <w:rPr>
          <w:b/>
        </w:rPr>
      </w:pPr>
    </w:p>
    <w:p w:rsidR="0090570B" w:rsidRDefault="0090570B" w:rsidP="0090570B">
      <w:r>
        <w:rPr>
          <w:noProof/>
        </w:rPr>
        <w:drawing>
          <wp:inline distT="0" distB="0" distL="0" distR="0">
            <wp:extent cx="5735955" cy="2105660"/>
            <wp:effectExtent l="0" t="0" r="0" b="8890"/>
            <wp:docPr id="5" name="Billed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0">
                      <a:extLst>
                        <a:ext uri="{28A0092B-C50C-407E-A947-70E740481C1C}">
                          <a14:useLocalDpi xmlns:a14="http://schemas.microsoft.com/office/drawing/2010/main" val="0"/>
                        </a:ext>
                      </a:extLst>
                    </a:blip>
                    <a:srcRect b="-117"/>
                    <a:stretch>
                      <a:fillRect/>
                    </a:stretch>
                  </pic:blipFill>
                  <pic:spPr bwMode="auto">
                    <a:xfrm>
                      <a:off x="0" y="0"/>
                      <a:ext cx="5735955" cy="2105660"/>
                    </a:xfrm>
                    <a:prstGeom prst="rect">
                      <a:avLst/>
                    </a:prstGeom>
                    <a:noFill/>
                    <a:ln>
                      <a:noFill/>
                    </a:ln>
                  </pic:spPr>
                </pic:pic>
              </a:graphicData>
            </a:graphic>
          </wp:inline>
        </w:drawing>
      </w:r>
    </w:p>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Pr>
        <w:numPr>
          <w:ilvl w:val="0"/>
          <w:numId w:val="2"/>
        </w:numPr>
        <w:rPr>
          <w:b/>
        </w:rPr>
      </w:pPr>
      <w:r>
        <w:rPr>
          <w:b/>
        </w:rPr>
        <w:t>Konklusion.</w:t>
      </w:r>
    </w:p>
    <w:p w:rsidR="0090570B" w:rsidRDefault="0090570B" w:rsidP="0090570B">
      <w:pPr>
        <w:rPr>
          <w:b/>
        </w:rPr>
      </w:pPr>
    </w:p>
    <w:p w:rsidR="0090570B" w:rsidRDefault="0090570B" w:rsidP="0090570B">
      <w:r>
        <w:t>Der kan trækkes nogle linjer fra tidligere budgetter. Der er her valgt regnskabet fra 05/06 så vi får en 6 års periode.</w:t>
      </w:r>
    </w:p>
    <w:p w:rsidR="0090570B" w:rsidRDefault="0090570B" w:rsidP="0090570B"/>
    <w:p w:rsidR="0090570B" w:rsidRDefault="0090570B" w:rsidP="0090570B">
      <w:pPr>
        <w:rPr>
          <w:b/>
        </w:rPr>
      </w:pPr>
      <w:r>
        <w:rPr>
          <w:b/>
        </w:rPr>
        <w:t>Tabel 3. Stigninger i udgifter på konti fra regnskab 05/06 til budgetforslag 11/12.</w:t>
      </w:r>
    </w:p>
    <w:p w:rsidR="0090570B" w:rsidRDefault="0090570B" w:rsidP="0090570B"/>
    <w:tbl>
      <w:tblPr>
        <w:tblW w:w="8853" w:type="dxa"/>
        <w:tblInd w:w="65" w:type="dxa"/>
        <w:tblCellMar>
          <w:left w:w="70" w:type="dxa"/>
          <w:right w:w="70" w:type="dxa"/>
        </w:tblCellMar>
        <w:tblLook w:val="04A0" w:firstRow="1" w:lastRow="0" w:firstColumn="1" w:lastColumn="0" w:noHBand="0" w:noVBand="1"/>
      </w:tblPr>
      <w:tblGrid>
        <w:gridCol w:w="2600"/>
        <w:gridCol w:w="2580"/>
        <w:gridCol w:w="1460"/>
        <w:gridCol w:w="1253"/>
        <w:gridCol w:w="960"/>
      </w:tblGrid>
      <w:tr w:rsidR="0090570B" w:rsidTr="0090570B">
        <w:trPr>
          <w:trHeight w:val="255"/>
        </w:trPr>
        <w:tc>
          <w:tcPr>
            <w:tcW w:w="2600" w:type="dxa"/>
            <w:tcBorders>
              <w:top w:val="single" w:sz="4" w:space="0" w:color="auto"/>
              <w:left w:val="single" w:sz="4" w:space="0" w:color="auto"/>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konto</w:t>
            </w:r>
          </w:p>
        </w:tc>
        <w:tc>
          <w:tcPr>
            <w:tcW w:w="2580" w:type="dxa"/>
            <w:tcBorders>
              <w:top w:val="single" w:sz="4" w:space="0" w:color="auto"/>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navn</w:t>
            </w:r>
          </w:p>
        </w:tc>
        <w:tc>
          <w:tcPr>
            <w:tcW w:w="1460" w:type="dxa"/>
            <w:tcBorders>
              <w:top w:val="single" w:sz="4" w:space="0" w:color="auto"/>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regnskab 05/06</w:t>
            </w:r>
          </w:p>
        </w:tc>
        <w:tc>
          <w:tcPr>
            <w:tcW w:w="1253" w:type="dxa"/>
            <w:tcBorders>
              <w:top w:val="single" w:sz="4" w:space="0" w:color="auto"/>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budget11/12</w:t>
            </w:r>
          </w:p>
        </w:tc>
        <w:tc>
          <w:tcPr>
            <w:tcW w:w="960" w:type="dxa"/>
            <w:tcBorders>
              <w:top w:val="single" w:sz="4" w:space="0" w:color="auto"/>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ændring</w:t>
            </w:r>
          </w:p>
        </w:tc>
      </w:tr>
      <w:tr w:rsidR="0090570B" w:rsidTr="0090570B">
        <w:trPr>
          <w:trHeight w:val="255"/>
        </w:trPr>
        <w:tc>
          <w:tcPr>
            <w:tcW w:w="2600" w:type="dxa"/>
            <w:tcBorders>
              <w:top w:val="nil"/>
              <w:left w:val="single" w:sz="4" w:space="0" w:color="auto"/>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120</w:t>
            </w:r>
          </w:p>
        </w:tc>
        <w:tc>
          <w:tcPr>
            <w:tcW w:w="2580" w:type="dxa"/>
            <w:tcBorders>
              <w:top w:val="nil"/>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henlæggelse til konto 116</w:t>
            </w:r>
          </w:p>
        </w:tc>
        <w:tc>
          <w:tcPr>
            <w:tcW w:w="14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591</w:t>
            </w:r>
          </w:p>
        </w:tc>
        <w:tc>
          <w:tcPr>
            <w:tcW w:w="1253"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1676</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1085</w:t>
            </w:r>
          </w:p>
        </w:tc>
      </w:tr>
      <w:tr w:rsidR="0090570B" w:rsidTr="0090570B">
        <w:trPr>
          <w:trHeight w:val="255"/>
        </w:trPr>
        <w:tc>
          <w:tcPr>
            <w:tcW w:w="2600" w:type="dxa"/>
            <w:tcBorders>
              <w:top w:val="nil"/>
              <w:left w:val="single" w:sz="4" w:space="0" w:color="auto"/>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107+111</w:t>
            </w:r>
          </w:p>
        </w:tc>
        <w:tc>
          <w:tcPr>
            <w:tcW w:w="2580" w:type="dxa"/>
            <w:tcBorders>
              <w:top w:val="nil"/>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Vandafgift plus el</w:t>
            </w:r>
          </w:p>
        </w:tc>
        <w:tc>
          <w:tcPr>
            <w:tcW w:w="14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1004</w:t>
            </w:r>
          </w:p>
        </w:tc>
        <w:tc>
          <w:tcPr>
            <w:tcW w:w="1253"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1002</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-2</w:t>
            </w:r>
          </w:p>
        </w:tc>
      </w:tr>
      <w:tr w:rsidR="0090570B" w:rsidTr="0090570B">
        <w:trPr>
          <w:trHeight w:val="255"/>
        </w:trPr>
        <w:tc>
          <w:tcPr>
            <w:tcW w:w="2600" w:type="dxa"/>
            <w:tcBorders>
              <w:top w:val="nil"/>
              <w:left w:val="single" w:sz="4" w:space="0" w:color="auto"/>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101-105.125-134 +204-206</w:t>
            </w:r>
          </w:p>
        </w:tc>
        <w:tc>
          <w:tcPr>
            <w:tcW w:w="2580" w:type="dxa"/>
            <w:tcBorders>
              <w:top w:val="nil"/>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 xml:space="preserve">Netto(kapital og </w:t>
            </w:r>
            <w:proofErr w:type="spellStart"/>
            <w:r>
              <w:rPr>
                <w:rFonts w:ascii="Arial" w:hAnsi="Arial" w:cs="Arial"/>
                <w:sz w:val="20"/>
                <w:szCs w:val="20"/>
              </w:rPr>
              <w:t>extraordinære</w:t>
            </w:r>
            <w:proofErr w:type="spellEnd"/>
            <w:r>
              <w:rPr>
                <w:rFonts w:ascii="Arial" w:hAnsi="Arial" w:cs="Arial"/>
                <w:sz w:val="20"/>
                <w:szCs w:val="20"/>
              </w:rPr>
              <w:t xml:space="preserve"> </w:t>
            </w:r>
            <w:proofErr w:type="spellStart"/>
            <w:r>
              <w:rPr>
                <w:rFonts w:ascii="Arial" w:hAnsi="Arial" w:cs="Arial"/>
                <w:sz w:val="20"/>
                <w:szCs w:val="20"/>
              </w:rPr>
              <w:t>udgiftger</w:t>
            </w:r>
            <w:proofErr w:type="spellEnd"/>
            <w:r>
              <w:rPr>
                <w:rFonts w:ascii="Arial" w:hAnsi="Arial" w:cs="Arial"/>
                <w:sz w:val="20"/>
                <w:szCs w:val="20"/>
              </w:rPr>
              <w:t>)</w:t>
            </w:r>
          </w:p>
        </w:tc>
        <w:tc>
          <w:tcPr>
            <w:tcW w:w="14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2918</w:t>
            </w:r>
          </w:p>
        </w:tc>
        <w:tc>
          <w:tcPr>
            <w:tcW w:w="1253"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3444</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526</w:t>
            </w:r>
          </w:p>
        </w:tc>
      </w:tr>
      <w:tr w:rsidR="0090570B" w:rsidTr="0090570B">
        <w:trPr>
          <w:trHeight w:val="255"/>
        </w:trPr>
        <w:tc>
          <w:tcPr>
            <w:tcW w:w="2600" w:type="dxa"/>
            <w:tcBorders>
              <w:top w:val="nil"/>
              <w:left w:val="single" w:sz="4" w:space="0" w:color="auto"/>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114</w:t>
            </w:r>
          </w:p>
        </w:tc>
        <w:tc>
          <w:tcPr>
            <w:tcW w:w="2580" w:type="dxa"/>
            <w:tcBorders>
              <w:top w:val="nil"/>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løn og trappevask</w:t>
            </w:r>
          </w:p>
        </w:tc>
        <w:tc>
          <w:tcPr>
            <w:tcW w:w="14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960</w:t>
            </w:r>
          </w:p>
        </w:tc>
        <w:tc>
          <w:tcPr>
            <w:tcW w:w="1253"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1152</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192</w:t>
            </w:r>
          </w:p>
        </w:tc>
      </w:tr>
      <w:tr w:rsidR="0090570B" w:rsidTr="0090570B">
        <w:trPr>
          <w:trHeight w:val="255"/>
        </w:trPr>
        <w:tc>
          <w:tcPr>
            <w:tcW w:w="2600" w:type="dxa"/>
            <w:tcBorders>
              <w:top w:val="nil"/>
              <w:left w:val="single" w:sz="4" w:space="0" w:color="auto"/>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106</w:t>
            </w:r>
          </w:p>
        </w:tc>
        <w:tc>
          <w:tcPr>
            <w:tcW w:w="2580" w:type="dxa"/>
            <w:tcBorders>
              <w:top w:val="nil"/>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ejendomsskatter</w:t>
            </w:r>
          </w:p>
        </w:tc>
        <w:tc>
          <w:tcPr>
            <w:tcW w:w="14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463</w:t>
            </w:r>
          </w:p>
        </w:tc>
        <w:tc>
          <w:tcPr>
            <w:tcW w:w="1253"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653</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190</w:t>
            </w:r>
          </w:p>
        </w:tc>
      </w:tr>
      <w:tr w:rsidR="0090570B" w:rsidTr="0090570B">
        <w:trPr>
          <w:trHeight w:val="255"/>
        </w:trPr>
        <w:tc>
          <w:tcPr>
            <w:tcW w:w="2600" w:type="dxa"/>
            <w:tcBorders>
              <w:top w:val="nil"/>
              <w:left w:val="single" w:sz="4" w:space="0" w:color="auto"/>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121-123</w:t>
            </w:r>
          </w:p>
        </w:tc>
        <w:tc>
          <w:tcPr>
            <w:tcW w:w="2580" w:type="dxa"/>
            <w:tcBorders>
              <w:top w:val="nil"/>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henlæggelse fraflytning</w:t>
            </w:r>
          </w:p>
        </w:tc>
        <w:tc>
          <w:tcPr>
            <w:tcW w:w="14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130</w:t>
            </w:r>
          </w:p>
        </w:tc>
        <w:tc>
          <w:tcPr>
            <w:tcW w:w="1253"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165</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35</w:t>
            </w:r>
          </w:p>
        </w:tc>
      </w:tr>
      <w:tr w:rsidR="0090570B" w:rsidTr="0090570B">
        <w:trPr>
          <w:trHeight w:val="255"/>
        </w:trPr>
        <w:tc>
          <w:tcPr>
            <w:tcW w:w="2600" w:type="dxa"/>
            <w:tcBorders>
              <w:top w:val="nil"/>
              <w:left w:val="single" w:sz="4" w:space="0" w:color="auto"/>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112</w:t>
            </w:r>
          </w:p>
        </w:tc>
        <w:tc>
          <w:tcPr>
            <w:tcW w:w="2580" w:type="dxa"/>
            <w:tcBorders>
              <w:top w:val="nil"/>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bidrag til selskab</w:t>
            </w:r>
          </w:p>
        </w:tc>
        <w:tc>
          <w:tcPr>
            <w:tcW w:w="14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355</w:t>
            </w:r>
          </w:p>
        </w:tc>
        <w:tc>
          <w:tcPr>
            <w:tcW w:w="1253"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424</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69</w:t>
            </w:r>
          </w:p>
        </w:tc>
      </w:tr>
      <w:tr w:rsidR="0090570B" w:rsidTr="0090570B">
        <w:trPr>
          <w:trHeight w:val="255"/>
        </w:trPr>
        <w:tc>
          <w:tcPr>
            <w:tcW w:w="2600" w:type="dxa"/>
            <w:tcBorders>
              <w:top w:val="nil"/>
              <w:left w:val="single" w:sz="4" w:space="0" w:color="auto"/>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119</w:t>
            </w:r>
          </w:p>
        </w:tc>
        <w:tc>
          <w:tcPr>
            <w:tcW w:w="2580" w:type="dxa"/>
            <w:tcBorders>
              <w:top w:val="nil"/>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diverse udgifter</w:t>
            </w:r>
          </w:p>
        </w:tc>
        <w:tc>
          <w:tcPr>
            <w:tcW w:w="14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79</w:t>
            </w:r>
          </w:p>
        </w:tc>
        <w:tc>
          <w:tcPr>
            <w:tcW w:w="1253"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140</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61</w:t>
            </w:r>
          </w:p>
        </w:tc>
      </w:tr>
      <w:tr w:rsidR="0090570B" w:rsidTr="0090570B">
        <w:trPr>
          <w:trHeight w:val="255"/>
        </w:trPr>
        <w:tc>
          <w:tcPr>
            <w:tcW w:w="2600" w:type="dxa"/>
            <w:tcBorders>
              <w:top w:val="nil"/>
              <w:left w:val="single" w:sz="4" w:space="0" w:color="auto"/>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110</w:t>
            </w:r>
          </w:p>
        </w:tc>
        <w:tc>
          <w:tcPr>
            <w:tcW w:w="2580" w:type="dxa"/>
            <w:tcBorders>
              <w:top w:val="nil"/>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forsikringer</w:t>
            </w:r>
          </w:p>
        </w:tc>
        <w:tc>
          <w:tcPr>
            <w:tcW w:w="14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71</w:t>
            </w:r>
          </w:p>
        </w:tc>
        <w:tc>
          <w:tcPr>
            <w:tcW w:w="1253"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112</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41</w:t>
            </w:r>
          </w:p>
        </w:tc>
      </w:tr>
      <w:tr w:rsidR="0090570B" w:rsidTr="0090570B">
        <w:trPr>
          <w:trHeight w:val="255"/>
        </w:trPr>
        <w:tc>
          <w:tcPr>
            <w:tcW w:w="2600" w:type="dxa"/>
            <w:tcBorders>
              <w:top w:val="nil"/>
              <w:left w:val="single" w:sz="4" w:space="0" w:color="auto"/>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118+203.2</w:t>
            </w:r>
          </w:p>
        </w:tc>
        <w:tc>
          <w:tcPr>
            <w:tcW w:w="2580" w:type="dxa"/>
            <w:tcBorders>
              <w:top w:val="nil"/>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nettoudgift fællesvaskeri</w:t>
            </w:r>
          </w:p>
        </w:tc>
        <w:tc>
          <w:tcPr>
            <w:tcW w:w="14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108</w:t>
            </w:r>
          </w:p>
        </w:tc>
        <w:tc>
          <w:tcPr>
            <w:tcW w:w="1253"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93</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-15</w:t>
            </w:r>
          </w:p>
        </w:tc>
      </w:tr>
      <w:tr w:rsidR="0090570B" w:rsidTr="0090570B">
        <w:trPr>
          <w:trHeight w:val="255"/>
        </w:trPr>
        <w:tc>
          <w:tcPr>
            <w:tcW w:w="2600" w:type="dxa"/>
            <w:tcBorders>
              <w:top w:val="nil"/>
              <w:left w:val="single" w:sz="4" w:space="0" w:color="auto"/>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115</w:t>
            </w:r>
          </w:p>
        </w:tc>
        <w:tc>
          <w:tcPr>
            <w:tcW w:w="2580" w:type="dxa"/>
            <w:tcBorders>
              <w:top w:val="nil"/>
              <w:left w:val="nil"/>
              <w:bottom w:val="single" w:sz="4" w:space="0" w:color="auto"/>
              <w:right w:val="single" w:sz="4" w:space="0" w:color="auto"/>
            </w:tcBorders>
            <w:noWrap/>
            <w:vAlign w:val="bottom"/>
            <w:hideMark/>
          </w:tcPr>
          <w:p w:rsidR="0090570B" w:rsidRDefault="0090570B">
            <w:pPr>
              <w:rPr>
                <w:rFonts w:ascii="Arial" w:hAnsi="Arial" w:cs="Arial"/>
                <w:sz w:val="20"/>
                <w:szCs w:val="20"/>
              </w:rPr>
            </w:pPr>
            <w:r>
              <w:rPr>
                <w:rFonts w:ascii="Arial" w:hAnsi="Arial" w:cs="Arial"/>
                <w:sz w:val="20"/>
                <w:szCs w:val="20"/>
              </w:rPr>
              <w:t>almindelig vedligeholdelse</w:t>
            </w:r>
          </w:p>
        </w:tc>
        <w:tc>
          <w:tcPr>
            <w:tcW w:w="14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506</w:t>
            </w:r>
          </w:p>
        </w:tc>
        <w:tc>
          <w:tcPr>
            <w:tcW w:w="1253"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505</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Arial" w:hAnsi="Arial" w:cs="Arial"/>
                <w:sz w:val="20"/>
                <w:szCs w:val="20"/>
              </w:rPr>
            </w:pPr>
            <w:r>
              <w:rPr>
                <w:rFonts w:ascii="Arial" w:hAnsi="Arial" w:cs="Arial"/>
                <w:sz w:val="20"/>
                <w:szCs w:val="20"/>
              </w:rPr>
              <w:t>-1</w:t>
            </w:r>
          </w:p>
        </w:tc>
      </w:tr>
      <w:tr w:rsidR="0090570B" w:rsidTr="0090570B">
        <w:trPr>
          <w:trHeight w:val="255"/>
        </w:trPr>
        <w:tc>
          <w:tcPr>
            <w:tcW w:w="2600" w:type="dxa"/>
            <w:noWrap/>
            <w:vAlign w:val="bottom"/>
            <w:hideMark/>
          </w:tcPr>
          <w:p w:rsidR="0090570B" w:rsidRDefault="0090570B">
            <w:pPr>
              <w:rPr>
                <w:rFonts w:ascii="Arial" w:hAnsi="Arial" w:cs="Arial"/>
                <w:sz w:val="20"/>
                <w:szCs w:val="20"/>
              </w:rPr>
            </w:pPr>
            <w:r>
              <w:rPr>
                <w:rFonts w:ascii="Arial" w:hAnsi="Arial" w:cs="Arial"/>
                <w:sz w:val="20"/>
                <w:szCs w:val="20"/>
              </w:rPr>
              <w:t>i alt ændring udgifter</w:t>
            </w:r>
          </w:p>
        </w:tc>
        <w:tc>
          <w:tcPr>
            <w:tcW w:w="2580" w:type="dxa"/>
            <w:noWrap/>
            <w:vAlign w:val="bottom"/>
          </w:tcPr>
          <w:p w:rsidR="0090570B" w:rsidRDefault="0090570B">
            <w:pPr>
              <w:rPr>
                <w:rFonts w:ascii="Arial" w:hAnsi="Arial" w:cs="Arial"/>
                <w:sz w:val="20"/>
                <w:szCs w:val="20"/>
              </w:rPr>
            </w:pPr>
          </w:p>
        </w:tc>
        <w:tc>
          <w:tcPr>
            <w:tcW w:w="1460" w:type="dxa"/>
            <w:noWrap/>
            <w:vAlign w:val="bottom"/>
            <w:hideMark/>
          </w:tcPr>
          <w:p w:rsidR="0090570B" w:rsidRDefault="0090570B">
            <w:pPr>
              <w:jc w:val="center"/>
              <w:rPr>
                <w:rFonts w:ascii="Arial" w:hAnsi="Arial" w:cs="Arial"/>
                <w:sz w:val="20"/>
                <w:szCs w:val="20"/>
              </w:rPr>
            </w:pPr>
            <w:r>
              <w:rPr>
                <w:rFonts w:ascii="Arial" w:hAnsi="Arial" w:cs="Arial"/>
                <w:sz w:val="20"/>
                <w:szCs w:val="20"/>
              </w:rPr>
              <w:t>7185</w:t>
            </w:r>
          </w:p>
        </w:tc>
        <w:tc>
          <w:tcPr>
            <w:tcW w:w="1253" w:type="dxa"/>
            <w:noWrap/>
            <w:vAlign w:val="bottom"/>
            <w:hideMark/>
          </w:tcPr>
          <w:p w:rsidR="0090570B" w:rsidRDefault="0090570B">
            <w:pPr>
              <w:jc w:val="center"/>
              <w:rPr>
                <w:rFonts w:ascii="Arial" w:hAnsi="Arial" w:cs="Arial"/>
                <w:sz w:val="20"/>
                <w:szCs w:val="20"/>
              </w:rPr>
            </w:pPr>
            <w:proofErr w:type="gramStart"/>
            <w:r>
              <w:rPr>
                <w:rFonts w:ascii="Arial" w:hAnsi="Arial" w:cs="Arial"/>
                <w:sz w:val="20"/>
                <w:szCs w:val="20"/>
              </w:rPr>
              <w:t>10015</w:t>
            </w:r>
            <w:proofErr w:type="gramEnd"/>
          </w:p>
        </w:tc>
        <w:tc>
          <w:tcPr>
            <w:tcW w:w="960" w:type="dxa"/>
            <w:noWrap/>
            <w:vAlign w:val="bottom"/>
            <w:hideMark/>
          </w:tcPr>
          <w:p w:rsidR="0090570B" w:rsidRDefault="0090570B">
            <w:pPr>
              <w:jc w:val="center"/>
              <w:rPr>
                <w:rFonts w:ascii="Arial" w:hAnsi="Arial" w:cs="Arial"/>
                <w:sz w:val="20"/>
                <w:szCs w:val="20"/>
              </w:rPr>
            </w:pPr>
            <w:r>
              <w:rPr>
                <w:rFonts w:ascii="Arial" w:hAnsi="Arial" w:cs="Arial"/>
                <w:sz w:val="20"/>
                <w:szCs w:val="20"/>
              </w:rPr>
              <w:t>2830</w:t>
            </w:r>
          </w:p>
        </w:tc>
      </w:tr>
    </w:tbl>
    <w:p w:rsidR="0090570B" w:rsidRDefault="0090570B" w:rsidP="0090570B"/>
    <w:p w:rsidR="0090570B" w:rsidRDefault="0090570B" w:rsidP="0090570B"/>
    <w:p w:rsidR="0090570B" w:rsidRDefault="0090570B" w:rsidP="0090570B">
      <w:pPr>
        <w:rPr>
          <w:b/>
        </w:rPr>
      </w:pPr>
      <w:r>
        <w:t xml:space="preserve">Det ses, at langt den største post er henlæggelser til konto 116, altså der hvor vi har de større investeringer som </w:t>
      </w:r>
      <w:proofErr w:type="spellStart"/>
      <w:r>
        <w:t>boilerrum</w:t>
      </w:r>
      <w:proofErr w:type="spellEnd"/>
      <w:r>
        <w:t xml:space="preserve">. </w:t>
      </w:r>
    </w:p>
    <w:p w:rsidR="0090570B" w:rsidRDefault="0090570B" w:rsidP="0090570B"/>
    <w:p w:rsidR="0090570B" w:rsidRDefault="0090570B" w:rsidP="0090570B">
      <w:r>
        <w:t xml:space="preserve">Det ses, at 42 % af stigningen i udgifterne er på henlæggelser på konto 120.  De ting vi ikke har styr over, nemlig kapitaludgifter og ejendomsskatter er 24 % af stigningen. Det drejer sig om udgifter til lån og afdrag, herunder faldende tilskud fra staten og så ejendomsskatterne. </w:t>
      </w:r>
    </w:p>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90570B" w:rsidRDefault="0090570B" w:rsidP="0090570B">
      <w:pPr>
        <w:rPr>
          <w:b/>
        </w:rPr>
      </w:pPr>
      <w:r>
        <w:rPr>
          <w:b/>
        </w:rPr>
        <w:t>8. Notat vedrørende regnskab 2009/2010.</w:t>
      </w:r>
    </w:p>
    <w:p w:rsidR="0090570B" w:rsidRDefault="0090570B" w:rsidP="0090570B"/>
    <w:p w:rsidR="0090570B" w:rsidRDefault="0090570B" w:rsidP="0090570B">
      <w:r>
        <w:t xml:space="preserve">Der er opstået et overskud i regnskabet på 274.000 kr. Dette skyldes følgende afvigelser fra det </w:t>
      </w:r>
    </w:p>
    <w:p w:rsidR="0090570B" w:rsidRDefault="0090570B" w:rsidP="0090570B">
      <w:r>
        <w:t>budgetterede:</w:t>
      </w:r>
    </w:p>
    <w:p w:rsidR="0090570B" w:rsidRDefault="0090570B" w:rsidP="0090570B"/>
    <w:p w:rsidR="0090570B" w:rsidRDefault="0090570B" w:rsidP="0090570B"/>
    <w:tbl>
      <w:tblPr>
        <w:tblW w:w="4560" w:type="dxa"/>
        <w:tblInd w:w="65" w:type="dxa"/>
        <w:tblCellMar>
          <w:left w:w="70" w:type="dxa"/>
          <w:right w:w="70" w:type="dxa"/>
        </w:tblCellMar>
        <w:tblLook w:val="04A0" w:firstRow="1" w:lastRow="0" w:firstColumn="1" w:lastColumn="0" w:noHBand="0" w:noVBand="1"/>
      </w:tblPr>
      <w:tblGrid>
        <w:gridCol w:w="1253"/>
        <w:gridCol w:w="2460"/>
        <w:gridCol w:w="960"/>
      </w:tblGrid>
      <w:tr w:rsidR="0090570B" w:rsidTr="0090570B">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111.1</w:t>
            </w:r>
          </w:p>
        </w:tc>
        <w:tc>
          <w:tcPr>
            <w:tcW w:w="2460" w:type="dxa"/>
            <w:tcBorders>
              <w:top w:val="single" w:sz="4" w:space="0" w:color="auto"/>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el fællesareal</w:t>
            </w:r>
          </w:p>
        </w:tc>
        <w:tc>
          <w:tcPr>
            <w:tcW w:w="960" w:type="dxa"/>
            <w:tcBorders>
              <w:top w:val="single" w:sz="4" w:space="0" w:color="auto"/>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-48</w:t>
            </w:r>
          </w:p>
        </w:tc>
      </w:tr>
      <w:tr w:rsidR="0090570B" w:rsidTr="0090570B">
        <w:trPr>
          <w:trHeight w:val="300"/>
        </w:trPr>
        <w:tc>
          <w:tcPr>
            <w:tcW w:w="1140" w:type="dxa"/>
            <w:tcBorders>
              <w:top w:val="nil"/>
              <w:left w:val="single" w:sz="4" w:space="0" w:color="auto"/>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107</w:t>
            </w:r>
          </w:p>
        </w:tc>
        <w:tc>
          <w:tcPr>
            <w:tcW w:w="2460" w:type="dxa"/>
            <w:tcBorders>
              <w:top w:val="nil"/>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vandafgift</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-39</w:t>
            </w:r>
          </w:p>
        </w:tc>
      </w:tr>
      <w:tr w:rsidR="0090570B" w:rsidTr="0090570B">
        <w:trPr>
          <w:trHeight w:val="300"/>
        </w:trPr>
        <w:tc>
          <w:tcPr>
            <w:tcW w:w="1140" w:type="dxa"/>
            <w:tcBorders>
              <w:top w:val="nil"/>
              <w:left w:val="single" w:sz="4" w:space="0" w:color="auto"/>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126</w:t>
            </w:r>
          </w:p>
        </w:tc>
        <w:tc>
          <w:tcPr>
            <w:tcW w:w="2460" w:type="dxa"/>
            <w:tcBorders>
              <w:top w:val="nil"/>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tab ved lejeledighed</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-36</w:t>
            </w:r>
          </w:p>
        </w:tc>
      </w:tr>
      <w:tr w:rsidR="0090570B" w:rsidTr="0090570B">
        <w:trPr>
          <w:trHeight w:val="300"/>
        </w:trPr>
        <w:tc>
          <w:tcPr>
            <w:tcW w:w="1140" w:type="dxa"/>
            <w:tcBorders>
              <w:top w:val="nil"/>
              <w:left w:val="single" w:sz="4" w:space="0" w:color="auto"/>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125</w:t>
            </w:r>
          </w:p>
        </w:tc>
        <w:tc>
          <w:tcPr>
            <w:tcW w:w="2460" w:type="dxa"/>
            <w:tcBorders>
              <w:top w:val="nil"/>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 xml:space="preserve">lån forbedringsarbejder </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-32</w:t>
            </w:r>
          </w:p>
        </w:tc>
      </w:tr>
      <w:tr w:rsidR="0090570B" w:rsidTr="0090570B">
        <w:trPr>
          <w:trHeight w:val="300"/>
        </w:trPr>
        <w:tc>
          <w:tcPr>
            <w:tcW w:w="1140" w:type="dxa"/>
            <w:tcBorders>
              <w:top w:val="nil"/>
              <w:left w:val="single" w:sz="4" w:space="0" w:color="auto"/>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109</w:t>
            </w:r>
          </w:p>
        </w:tc>
        <w:tc>
          <w:tcPr>
            <w:tcW w:w="2460" w:type="dxa"/>
            <w:tcBorders>
              <w:top w:val="nil"/>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renovation</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31</w:t>
            </w:r>
          </w:p>
        </w:tc>
      </w:tr>
      <w:tr w:rsidR="0090570B" w:rsidTr="0090570B">
        <w:trPr>
          <w:trHeight w:val="300"/>
        </w:trPr>
        <w:tc>
          <w:tcPr>
            <w:tcW w:w="1140" w:type="dxa"/>
            <w:tcBorders>
              <w:top w:val="nil"/>
              <w:left w:val="single" w:sz="4" w:space="0" w:color="auto"/>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 </w:t>
            </w:r>
          </w:p>
        </w:tc>
        <w:tc>
          <w:tcPr>
            <w:tcW w:w="2460" w:type="dxa"/>
            <w:tcBorders>
              <w:top w:val="nil"/>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diverse andet</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44</w:t>
            </w:r>
          </w:p>
        </w:tc>
      </w:tr>
      <w:tr w:rsidR="0090570B" w:rsidTr="0090570B">
        <w:trPr>
          <w:trHeight w:val="300"/>
        </w:trPr>
        <w:tc>
          <w:tcPr>
            <w:tcW w:w="1140" w:type="dxa"/>
            <w:tcBorders>
              <w:top w:val="nil"/>
              <w:left w:val="single" w:sz="4" w:space="0" w:color="auto"/>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114</w:t>
            </w:r>
          </w:p>
        </w:tc>
        <w:tc>
          <w:tcPr>
            <w:tcW w:w="2460" w:type="dxa"/>
            <w:tcBorders>
              <w:top w:val="nil"/>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renholdelse(løn mv.)</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49</w:t>
            </w:r>
          </w:p>
        </w:tc>
      </w:tr>
      <w:tr w:rsidR="0090570B" w:rsidTr="0090570B">
        <w:trPr>
          <w:trHeight w:val="300"/>
        </w:trPr>
        <w:tc>
          <w:tcPr>
            <w:tcW w:w="1140" w:type="dxa"/>
            <w:tcBorders>
              <w:top w:val="nil"/>
              <w:left w:val="single" w:sz="4" w:space="0" w:color="auto"/>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115</w:t>
            </w:r>
          </w:p>
        </w:tc>
        <w:tc>
          <w:tcPr>
            <w:tcW w:w="2460" w:type="dxa"/>
            <w:tcBorders>
              <w:top w:val="nil"/>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 xml:space="preserve">almindelig </w:t>
            </w:r>
            <w:proofErr w:type="spellStart"/>
            <w:r>
              <w:rPr>
                <w:rFonts w:ascii="Calibri" w:hAnsi="Calibri"/>
                <w:color w:val="000000"/>
                <w:sz w:val="22"/>
                <w:szCs w:val="22"/>
              </w:rPr>
              <w:t>vedligholdelse</w:t>
            </w:r>
            <w:proofErr w:type="spellEnd"/>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54</w:t>
            </w:r>
          </w:p>
        </w:tc>
      </w:tr>
      <w:tr w:rsidR="0090570B" w:rsidTr="0090570B">
        <w:trPr>
          <w:trHeight w:val="300"/>
        </w:trPr>
        <w:tc>
          <w:tcPr>
            <w:tcW w:w="1140" w:type="dxa"/>
            <w:tcBorders>
              <w:top w:val="nil"/>
              <w:left w:val="single" w:sz="4" w:space="0" w:color="auto"/>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118.1+203.2</w:t>
            </w:r>
          </w:p>
        </w:tc>
        <w:tc>
          <w:tcPr>
            <w:tcW w:w="2460" w:type="dxa"/>
            <w:tcBorders>
              <w:top w:val="nil"/>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drift af fællesvaskeri</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55</w:t>
            </w:r>
          </w:p>
        </w:tc>
      </w:tr>
      <w:tr w:rsidR="0090570B" w:rsidTr="0090570B">
        <w:trPr>
          <w:trHeight w:val="300"/>
        </w:trPr>
        <w:tc>
          <w:tcPr>
            <w:tcW w:w="1140" w:type="dxa"/>
            <w:tcBorders>
              <w:top w:val="nil"/>
              <w:left w:val="single" w:sz="4" w:space="0" w:color="auto"/>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119</w:t>
            </w:r>
          </w:p>
        </w:tc>
        <w:tc>
          <w:tcPr>
            <w:tcW w:w="2460" w:type="dxa"/>
            <w:tcBorders>
              <w:top w:val="nil"/>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diverse udgifter</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60</w:t>
            </w:r>
          </w:p>
        </w:tc>
      </w:tr>
      <w:tr w:rsidR="0090570B" w:rsidTr="0090570B">
        <w:trPr>
          <w:trHeight w:val="300"/>
        </w:trPr>
        <w:tc>
          <w:tcPr>
            <w:tcW w:w="1140" w:type="dxa"/>
            <w:tcBorders>
              <w:top w:val="nil"/>
              <w:left w:val="single" w:sz="4" w:space="0" w:color="auto"/>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202</w:t>
            </w:r>
          </w:p>
        </w:tc>
        <w:tc>
          <w:tcPr>
            <w:tcW w:w="2460" w:type="dxa"/>
            <w:tcBorders>
              <w:top w:val="nil"/>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renter</w:t>
            </w:r>
          </w:p>
        </w:tc>
        <w:tc>
          <w:tcPr>
            <w:tcW w:w="960" w:type="dxa"/>
            <w:tcBorders>
              <w:top w:val="nil"/>
              <w:left w:val="nil"/>
              <w:bottom w:val="single" w:sz="4" w:space="0" w:color="auto"/>
              <w:right w:val="single" w:sz="4" w:space="0" w:color="auto"/>
            </w:tcBorders>
            <w:noWrap/>
            <w:vAlign w:val="bottom"/>
            <w:hideMark/>
          </w:tcPr>
          <w:p w:rsidR="0090570B" w:rsidRDefault="0090570B">
            <w:pPr>
              <w:jc w:val="center"/>
              <w:rPr>
                <w:rFonts w:ascii="Calibri" w:hAnsi="Calibri"/>
                <w:color w:val="000000"/>
                <w:sz w:val="22"/>
                <w:szCs w:val="22"/>
              </w:rPr>
            </w:pPr>
            <w:r>
              <w:rPr>
                <w:rFonts w:ascii="Calibri" w:hAnsi="Calibri"/>
                <w:color w:val="000000"/>
                <w:sz w:val="22"/>
                <w:szCs w:val="22"/>
              </w:rPr>
              <w:t>136</w:t>
            </w:r>
          </w:p>
        </w:tc>
      </w:tr>
      <w:tr w:rsidR="0090570B" w:rsidTr="0090570B">
        <w:trPr>
          <w:trHeight w:val="300"/>
        </w:trPr>
        <w:tc>
          <w:tcPr>
            <w:tcW w:w="1140" w:type="dxa"/>
            <w:tcBorders>
              <w:top w:val="nil"/>
              <w:left w:val="single" w:sz="4" w:space="0" w:color="auto"/>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 </w:t>
            </w:r>
          </w:p>
        </w:tc>
        <w:tc>
          <w:tcPr>
            <w:tcW w:w="2460" w:type="dxa"/>
            <w:tcBorders>
              <w:top w:val="nil"/>
              <w:left w:val="nil"/>
              <w:bottom w:val="single" w:sz="4" w:space="0" w:color="auto"/>
              <w:right w:val="single" w:sz="4" w:space="0" w:color="auto"/>
            </w:tcBorders>
            <w:noWrap/>
            <w:vAlign w:val="bottom"/>
            <w:hideMark/>
          </w:tcPr>
          <w:p w:rsidR="0090570B" w:rsidRDefault="0090570B">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noWrap/>
            <w:vAlign w:val="bottom"/>
            <w:hideMark/>
          </w:tcPr>
          <w:p w:rsidR="0090570B" w:rsidRDefault="0090570B">
            <w:pPr>
              <w:jc w:val="right"/>
              <w:rPr>
                <w:rFonts w:ascii="Calibri" w:hAnsi="Calibri"/>
                <w:color w:val="000000"/>
                <w:sz w:val="22"/>
                <w:szCs w:val="22"/>
              </w:rPr>
            </w:pPr>
            <w:r>
              <w:rPr>
                <w:rFonts w:ascii="Calibri" w:hAnsi="Calibri"/>
                <w:color w:val="000000"/>
                <w:sz w:val="22"/>
                <w:szCs w:val="22"/>
              </w:rPr>
              <w:t>274</w:t>
            </w:r>
          </w:p>
        </w:tc>
      </w:tr>
    </w:tbl>
    <w:p w:rsidR="0090570B" w:rsidRDefault="0090570B" w:rsidP="0090570B"/>
    <w:p w:rsidR="0090570B" w:rsidRDefault="0090570B" w:rsidP="0090570B">
      <w:r>
        <w:t>Eller i figurform</w:t>
      </w:r>
    </w:p>
    <w:p w:rsidR="0090570B" w:rsidRDefault="0090570B" w:rsidP="0090570B"/>
    <w:p w:rsidR="0090570B" w:rsidRDefault="0090570B" w:rsidP="0090570B">
      <w:r>
        <w:rPr>
          <w:noProof/>
        </w:rPr>
        <w:drawing>
          <wp:inline distT="0" distB="0" distL="0" distR="0">
            <wp:extent cx="6097270" cy="2506980"/>
            <wp:effectExtent l="0" t="0" r="17780" b="26670"/>
            <wp:docPr id="4"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570B" w:rsidRDefault="0090570B" w:rsidP="0090570B">
      <w:pPr>
        <w:rPr>
          <w:noProof/>
        </w:rPr>
      </w:pPr>
    </w:p>
    <w:p w:rsidR="0090570B" w:rsidRDefault="0090570B" w:rsidP="0090570B">
      <w:pPr>
        <w:rPr>
          <w:noProof/>
        </w:rPr>
      </w:pPr>
      <w:r>
        <w:rPr>
          <w:noProof/>
        </w:rPr>
        <w:lastRenderedPageBreak/>
        <w:t xml:space="preserve">Det ses, at den store pluspost, der bidrager til overskuddet er at vi har budgetteret med lave renter. Andre gode poster er at der er overskud på driften af fællesvaskerierne set i forhold til det budgetterede,  almindelig vedligeholdelse (bravo Kurt) og overskud på lønbudgettet. </w:t>
      </w:r>
    </w:p>
    <w:p w:rsidR="0090570B" w:rsidRDefault="0090570B" w:rsidP="0090570B">
      <w:pPr>
        <w:rPr>
          <w:noProof/>
        </w:rPr>
      </w:pPr>
    </w:p>
    <w:p w:rsidR="0090570B" w:rsidRDefault="0090570B" w:rsidP="0090570B">
      <w:pPr>
        <w:rPr>
          <w:noProof/>
        </w:rPr>
      </w:pPr>
      <w:r>
        <w:rPr>
          <w:noProof/>
        </w:rPr>
        <w:t>Til gengæld trækker det i modsat retning at el og varme gik  dårligt, med samlet underskud på 87000 kr. Der er også et tab på lejeledighed for første gang i årevis. Til gengæld falder  vandudgifterne i budgetforslaget, jævnfør at kommunen har sat prisen ned.</w:t>
      </w:r>
    </w:p>
    <w:p w:rsidR="0090570B" w:rsidRDefault="0090570B" w:rsidP="0090570B">
      <w:pPr>
        <w:rPr>
          <w:noProof/>
        </w:rPr>
      </w:pPr>
    </w:p>
    <w:p w:rsidR="0090570B" w:rsidRDefault="0090570B" w:rsidP="0090570B">
      <w:pPr>
        <w:rPr>
          <w:b/>
          <w:noProof/>
        </w:rPr>
      </w:pPr>
      <w:r>
        <w:rPr>
          <w:noProof/>
        </w:rPr>
        <w:t xml:space="preserve">9. </w:t>
      </w:r>
      <w:r>
        <w:rPr>
          <w:b/>
          <w:noProof/>
        </w:rPr>
        <w:t>Varmeforbruget.</w:t>
      </w:r>
    </w:p>
    <w:p w:rsidR="0090570B" w:rsidRDefault="0090570B" w:rsidP="0090570B">
      <w:pPr>
        <w:rPr>
          <w:noProof/>
        </w:rPr>
      </w:pPr>
    </w:p>
    <w:p w:rsidR="0090570B" w:rsidRDefault="0090570B" w:rsidP="0090570B">
      <w:pPr>
        <w:rPr>
          <w:noProof/>
        </w:rPr>
      </w:pPr>
      <w:r>
        <w:rPr>
          <w:noProof/>
        </w:rPr>
        <w:t>Der kan udfra forbrug i 2010 vises, at der er en stor forskel på hvad folk bruger. Der forventes nu, at der kommer fjernvarme, så de nævnte målinger får en anden betydning, når varmeregningen formentlig går ned.</w:t>
      </w:r>
    </w:p>
    <w:p w:rsidR="0090570B" w:rsidRDefault="0090570B" w:rsidP="0090570B">
      <w:pPr>
        <w:rPr>
          <w:noProof/>
        </w:rPr>
      </w:pPr>
    </w:p>
    <w:p w:rsidR="0090570B" w:rsidRDefault="0090570B" w:rsidP="0090570B">
      <w:pPr>
        <w:rPr>
          <w:noProof/>
        </w:rPr>
      </w:pPr>
      <w:r>
        <w:rPr>
          <w:noProof/>
        </w:rPr>
        <w:t>I de fireværelses ser forbruget således ud.</w:t>
      </w:r>
    </w:p>
    <w:p w:rsidR="0090570B" w:rsidRDefault="0090570B" w:rsidP="0090570B">
      <w:pPr>
        <w:rPr>
          <w:noProof/>
        </w:rPr>
      </w:pPr>
    </w:p>
    <w:p w:rsidR="0090570B" w:rsidRDefault="0090570B" w:rsidP="0090570B">
      <w:pPr>
        <w:rPr>
          <w:noProof/>
        </w:rPr>
      </w:pPr>
    </w:p>
    <w:p w:rsidR="0090570B" w:rsidRDefault="0090570B" w:rsidP="0090570B">
      <w:pPr>
        <w:rPr>
          <w:noProof/>
        </w:rPr>
      </w:pPr>
      <w:r>
        <w:rPr>
          <w:noProof/>
        </w:rPr>
        <w:drawing>
          <wp:inline distT="0" distB="0" distL="0" distR="0">
            <wp:extent cx="4567555" cy="2743835"/>
            <wp:effectExtent l="0" t="0" r="23495" b="18415"/>
            <wp:docPr id="3"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570B" w:rsidRDefault="0090570B" w:rsidP="0090570B">
      <w:pPr>
        <w:rPr>
          <w:noProof/>
        </w:rPr>
      </w:pPr>
    </w:p>
    <w:p w:rsidR="0090570B" w:rsidRDefault="0090570B" w:rsidP="0090570B">
      <w:pPr>
        <w:rPr>
          <w:noProof/>
        </w:rPr>
      </w:pPr>
      <w:r>
        <w:rPr>
          <w:noProof/>
        </w:rPr>
        <w:t>Den lejlighed hvor der er størst forbrug har 13 gange så stort forbrug som den der har mindst. Den med højst forbrug ligger midt inde i en blok og lige ved siden af en med lavt forbrug.</w:t>
      </w:r>
    </w:p>
    <w:p w:rsidR="0090570B" w:rsidRDefault="0090570B" w:rsidP="0090570B">
      <w:pPr>
        <w:rPr>
          <w:noProof/>
        </w:rPr>
      </w:pPr>
    </w:p>
    <w:p w:rsidR="0090570B" w:rsidRDefault="0090570B" w:rsidP="0090570B">
      <w:pPr>
        <w:rPr>
          <w:noProof/>
        </w:rPr>
      </w:pPr>
      <w:r>
        <w:rPr>
          <w:noProof/>
        </w:rPr>
        <w:t>For de 3 værelses er der en lignende meget stor forskel</w:t>
      </w:r>
    </w:p>
    <w:p w:rsidR="0090570B" w:rsidRDefault="0090570B" w:rsidP="0090570B">
      <w:pPr>
        <w:rPr>
          <w:noProof/>
        </w:rPr>
      </w:pPr>
    </w:p>
    <w:p w:rsidR="0090570B" w:rsidRDefault="0090570B" w:rsidP="0090570B">
      <w:pPr>
        <w:rPr>
          <w:noProof/>
        </w:rPr>
      </w:pPr>
      <w:r>
        <w:rPr>
          <w:noProof/>
        </w:rPr>
        <w:lastRenderedPageBreak/>
        <w:drawing>
          <wp:inline distT="0" distB="0" distL="0" distR="0">
            <wp:extent cx="4567555" cy="2743835"/>
            <wp:effectExtent l="0" t="0" r="23495" b="18415"/>
            <wp:docPr id="2"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570B" w:rsidRDefault="0090570B" w:rsidP="0090570B">
      <w:pPr>
        <w:rPr>
          <w:noProof/>
        </w:rPr>
      </w:pPr>
    </w:p>
    <w:p w:rsidR="0090570B" w:rsidRDefault="0090570B" w:rsidP="0090570B">
      <w:pPr>
        <w:rPr>
          <w:noProof/>
        </w:rPr>
      </w:pPr>
    </w:p>
    <w:p w:rsidR="0090570B" w:rsidRDefault="0090570B" w:rsidP="0090570B">
      <w:pPr>
        <w:rPr>
          <w:noProof/>
        </w:rPr>
      </w:pPr>
      <w:r>
        <w:rPr>
          <w:noProof/>
        </w:rPr>
        <w:t xml:space="preserve">Igen er den lejlighed med størst forbrug inde i en blok , på første sal. </w:t>
      </w:r>
    </w:p>
    <w:p w:rsidR="0090570B" w:rsidRDefault="0090570B" w:rsidP="0090570B">
      <w:pPr>
        <w:rPr>
          <w:noProof/>
        </w:rPr>
      </w:pPr>
    </w:p>
    <w:p w:rsidR="0090570B" w:rsidRDefault="0090570B" w:rsidP="0090570B">
      <w:pPr>
        <w:rPr>
          <w:noProof/>
        </w:rPr>
      </w:pPr>
      <w:r>
        <w:rPr>
          <w:noProof/>
        </w:rPr>
        <w:t xml:space="preserve">De 2 værelses har også stor forskel. </w:t>
      </w:r>
    </w:p>
    <w:p w:rsidR="0090570B" w:rsidRDefault="0090570B" w:rsidP="0090570B">
      <w:pPr>
        <w:rPr>
          <w:noProof/>
        </w:rPr>
      </w:pPr>
    </w:p>
    <w:p w:rsidR="0090570B" w:rsidRDefault="0090570B" w:rsidP="0090570B">
      <w:pPr>
        <w:rPr>
          <w:noProof/>
        </w:rPr>
      </w:pPr>
      <w:r>
        <w:rPr>
          <w:noProof/>
        </w:rPr>
        <w:drawing>
          <wp:inline distT="0" distB="0" distL="0" distR="0">
            <wp:extent cx="4567555" cy="2743835"/>
            <wp:effectExtent l="0" t="0" r="23495" b="18415"/>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t xml:space="preserve"> </w:t>
      </w:r>
    </w:p>
    <w:p w:rsidR="0090570B" w:rsidRDefault="0090570B" w:rsidP="0090570B"/>
    <w:p w:rsidR="0090570B" w:rsidRDefault="0090570B" w:rsidP="0090570B"/>
    <w:p w:rsidR="0090570B" w:rsidRDefault="0090570B" w:rsidP="0090570B"/>
    <w:p w:rsidR="0090570B" w:rsidRDefault="0090570B" w:rsidP="0090570B"/>
    <w:p w:rsidR="0090570B" w:rsidRDefault="0090570B" w:rsidP="0090570B"/>
    <w:p w:rsidR="00C47E94" w:rsidRDefault="00C47E94"/>
    <w:sectPr w:rsidR="00C47E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altName w:val="Segoe UI Semibold"/>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C06A6"/>
    <w:multiLevelType w:val="hybridMultilevel"/>
    <w:tmpl w:val="ACFCAA0E"/>
    <w:lvl w:ilvl="0" w:tplc="89922CDE">
      <w:start w:val="2"/>
      <w:numFmt w:val="upperLetter"/>
      <w:lvlText w:val="%1."/>
      <w:lvlJc w:val="left"/>
      <w:pPr>
        <w:ind w:left="1494" w:hanging="360"/>
      </w:pPr>
    </w:lvl>
    <w:lvl w:ilvl="1" w:tplc="04060019">
      <w:start w:val="1"/>
      <w:numFmt w:val="lowerLetter"/>
      <w:lvlText w:val="%2."/>
      <w:lvlJc w:val="left"/>
      <w:pPr>
        <w:ind w:left="2214" w:hanging="360"/>
      </w:pPr>
    </w:lvl>
    <w:lvl w:ilvl="2" w:tplc="0406001B">
      <w:start w:val="1"/>
      <w:numFmt w:val="lowerRoman"/>
      <w:lvlText w:val="%3."/>
      <w:lvlJc w:val="right"/>
      <w:pPr>
        <w:ind w:left="2934" w:hanging="180"/>
      </w:pPr>
    </w:lvl>
    <w:lvl w:ilvl="3" w:tplc="0406000F">
      <w:start w:val="1"/>
      <w:numFmt w:val="decimal"/>
      <w:lvlText w:val="%4."/>
      <w:lvlJc w:val="left"/>
      <w:pPr>
        <w:ind w:left="3654" w:hanging="360"/>
      </w:pPr>
    </w:lvl>
    <w:lvl w:ilvl="4" w:tplc="04060019">
      <w:start w:val="1"/>
      <w:numFmt w:val="lowerLetter"/>
      <w:lvlText w:val="%5."/>
      <w:lvlJc w:val="left"/>
      <w:pPr>
        <w:ind w:left="4374" w:hanging="360"/>
      </w:pPr>
    </w:lvl>
    <w:lvl w:ilvl="5" w:tplc="0406001B">
      <w:start w:val="1"/>
      <w:numFmt w:val="lowerRoman"/>
      <w:lvlText w:val="%6."/>
      <w:lvlJc w:val="right"/>
      <w:pPr>
        <w:ind w:left="5094" w:hanging="180"/>
      </w:pPr>
    </w:lvl>
    <w:lvl w:ilvl="6" w:tplc="0406000F">
      <w:start w:val="1"/>
      <w:numFmt w:val="decimal"/>
      <w:lvlText w:val="%7."/>
      <w:lvlJc w:val="left"/>
      <w:pPr>
        <w:ind w:left="5814" w:hanging="360"/>
      </w:pPr>
    </w:lvl>
    <w:lvl w:ilvl="7" w:tplc="04060019">
      <w:start w:val="1"/>
      <w:numFmt w:val="lowerLetter"/>
      <w:lvlText w:val="%8."/>
      <w:lvlJc w:val="left"/>
      <w:pPr>
        <w:ind w:left="6534" w:hanging="360"/>
      </w:pPr>
    </w:lvl>
    <w:lvl w:ilvl="8" w:tplc="0406001B">
      <w:start w:val="1"/>
      <w:numFmt w:val="lowerRoman"/>
      <w:lvlText w:val="%9."/>
      <w:lvlJc w:val="right"/>
      <w:pPr>
        <w:ind w:left="7254" w:hanging="180"/>
      </w:pPr>
    </w:lvl>
  </w:abstractNum>
  <w:abstractNum w:abstractNumId="1">
    <w:nsid w:val="5F2B4FF2"/>
    <w:multiLevelType w:val="hybridMultilevel"/>
    <w:tmpl w:val="6E0880A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0B"/>
    <w:rsid w:val="007B74B9"/>
    <w:rsid w:val="007C4116"/>
    <w:rsid w:val="0090570B"/>
    <w:rsid w:val="00C47E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0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90570B"/>
    <w:rPr>
      <w:color w:val="0000FF"/>
      <w:u w:val="single"/>
    </w:rPr>
  </w:style>
  <w:style w:type="paragraph" w:styleId="Markeringsbobletekst">
    <w:name w:val="Balloon Text"/>
    <w:basedOn w:val="Normal"/>
    <w:link w:val="MarkeringsbobletekstTegn"/>
    <w:uiPriority w:val="99"/>
    <w:semiHidden/>
    <w:unhideWhenUsed/>
    <w:rsid w:val="0090570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570B"/>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0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90570B"/>
    <w:rPr>
      <w:color w:val="0000FF"/>
      <w:u w:val="single"/>
    </w:rPr>
  </w:style>
  <w:style w:type="paragraph" w:styleId="Markeringsbobletekst">
    <w:name w:val="Balloon Text"/>
    <w:basedOn w:val="Normal"/>
    <w:link w:val="MarkeringsbobletekstTegn"/>
    <w:uiPriority w:val="99"/>
    <w:semiHidden/>
    <w:unhideWhenUsed/>
    <w:rsid w:val="0090570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570B"/>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geparken.eu/6storage/496/0/0egetrae_0.jpg"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geparken.eu/forside.6"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geparken/"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er\Desktop\Private\Egeparken\regnskab%2009-10%20endelig%20version%20regneark.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er\Desktop\Private\Egeparken\varmeregnskab%20201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ter\Desktop\Private\Egeparken\varmeregnskab%20201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eter\Desktop\Private\Egeparken\varmeregnskab%2020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roundedCorners val="1"/>
  <c:style val="2"/>
  <c:chart>
    <c:title>
      <c:tx>
        <c:rich>
          <a:bodyPr/>
          <a:lstStyle/>
          <a:p>
            <a:pPr>
              <a:defRPr/>
            </a:pPr>
            <a:r>
              <a:rPr lang="en-US"/>
              <a:t>Afvigelser i udgifter i regnskabsår Egeparken 1 2009-2010</a:t>
            </a:r>
          </a:p>
        </c:rich>
      </c:tx>
      <c:overlay val="1"/>
    </c:title>
    <c:autoTitleDeleted val="0"/>
    <c:plotArea>
      <c:layout/>
      <c:barChart>
        <c:barDir val="col"/>
        <c:grouping val="clustered"/>
        <c:varyColors val="1"/>
        <c:ser>
          <c:idx val="0"/>
          <c:order val="0"/>
          <c:tx>
            <c:strRef>
              <c:f>'Ark1'!$C$1</c:f>
              <c:strCache>
                <c:ptCount val="1"/>
                <c:pt idx="0">
                  <c:v>afvigelse</c:v>
                </c:pt>
              </c:strCache>
            </c:strRef>
          </c:tx>
          <c:invertIfNegative val="1"/>
          <c:dLbls>
            <c:showLegendKey val="1"/>
            <c:showVal val="1"/>
            <c:showCatName val="1"/>
            <c:showSerName val="1"/>
            <c:showPercent val="1"/>
            <c:showBubbleSize val="1"/>
            <c:showLeaderLines val="0"/>
          </c:dLbls>
          <c:cat>
            <c:strRef>
              <c:f>'Ark1'!$B$2:$B$13</c:f>
              <c:strCache>
                <c:ptCount val="12"/>
                <c:pt idx="1">
                  <c:v>el fællesareal</c:v>
                </c:pt>
                <c:pt idx="2">
                  <c:v>vandafgift</c:v>
                </c:pt>
                <c:pt idx="3">
                  <c:v>tab ved lejeledighed</c:v>
                </c:pt>
                <c:pt idx="4">
                  <c:v>lån forbedringsarbejder </c:v>
                </c:pt>
                <c:pt idx="5">
                  <c:v>renovation</c:v>
                </c:pt>
                <c:pt idx="6">
                  <c:v>diverse andet</c:v>
                </c:pt>
                <c:pt idx="7">
                  <c:v>renholdelse(løn mv.)</c:v>
                </c:pt>
                <c:pt idx="8">
                  <c:v>almindelig vedligholdelse</c:v>
                </c:pt>
                <c:pt idx="9">
                  <c:v>drift af fællesvaskeri</c:v>
                </c:pt>
                <c:pt idx="10">
                  <c:v>diverse udgifter</c:v>
                </c:pt>
                <c:pt idx="11">
                  <c:v>renter</c:v>
                </c:pt>
              </c:strCache>
            </c:strRef>
          </c:cat>
          <c:val>
            <c:numRef>
              <c:f>'Ark1'!$C$2:$C$13</c:f>
              <c:numCache>
                <c:formatCode>General</c:formatCode>
                <c:ptCount val="12"/>
                <c:pt idx="1">
                  <c:v>-48</c:v>
                </c:pt>
                <c:pt idx="2">
                  <c:v>-39</c:v>
                </c:pt>
                <c:pt idx="3">
                  <c:v>-36</c:v>
                </c:pt>
                <c:pt idx="4">
                  <c:v>-32</c:v>
                </c:pt>
                <c:pt idx="5">
                  <c:v>31</c:v>
                </c:pt>
                <c:pt idx="6">
                  <c:v>44</c:v>
                </c:pt>
                <c:pt idx="7">
                  <c:v>49</c:v>
                </c:pt>
                <c:pt idx="8">
                  <c:v>54</c:v>
                </c:pt>
                <c:pt idx="9">
                  <c:v>55</c:v>
                </c:pt>
                <c:pt idx="10">
                  <c:v>60</c:v>
                </c:pt>
                <c:pt idx="11">
                  <c:v>136</c:v>
                </c:pt>
              </c:numCache>
            </c:numRef>
          </c:val>
        </c:ser>
        <c:dLbls>
          <c:showLegendKey val="0"/>
          <c:showVal val="0"/>
          <c:showCatName val="0"/>
          <c:showSerName val="0"/>
          <c:showPercent val="0"/>
          <c:showBubbleSize val="0"/>
        </c:dLbls>
        <c:gapWidth val="150"/>
        <c:axId val="74641408"/>
        <c:axId val="74642944"/>
      </c:barChart>
      <c:catAx>
        <c:axId val="74641408"/>
        <c:scaling>
          <c:orientation val="minMax"/>
        </c:scaling>
        <c:delete val="1"/>
        <c:axPos val="b"/>
        <c:numFmt formatCode="General" sourceLinked="1"/>
        <c:majorTickMark val="cross"/>
        <c:minorTickMark val="cross"/>
        <c:tickLblPos val="nextTo"/>
        <c:crossAx val="74642944"/>
        <c:crosses val="autoZero"/>
        <c:auto val="1"/>
        <c:lblAlgn val="ctr"/>
        <c:lblOffset val="100"/>
        <c:noMultiLvlLbl val="1"/>
      </c:catAx>
      <c:valAx>
        <c:axId val="74642944"/>
        <c:scaling>
          <c:orientation val="minMax"/>
        </c:scaling>
        <c:delete val="1"/>
        <c:axPos val="l"/>
        <c:majorGridlines/>
        <c:numFmt formatCode="General" sourceLinked="1"/>
        <c:majorTickMark val="cross"/>
        <c:minorTickMark val="cross"/>
        <c:tickLblPos val="nextTo"/>
        <c:crossAx val="74641408"/>
        <c:crosses val="autoZero"/>
        <c:crossBetween val="between"/>
      </c:valAx>
    </c:plotArea>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roundedCorners val="1"/>
  <c:style val="2"/>
  <c:chart>
    <c:autoTitleDeleted val="1"/>
    <c:plotArea>
      <c:layout/>
      <c:lineChart>
        <c:grouping val="standard"/>
        <c:varyColors val="1"/>
        <c:ser>
          <c:idx val="0"/>
          <c:order val="0"/>
          <c:tx>
            <c:strRef>
              <c:f>'4 værelses'!$B$35</c:f>
              <c:strCache>
                <c:ptCount val="1"/>
                <c:pt idx="0">
                  <c:v>4 værelses forbrug</c:v>
                </c:pt>
              </c:strCache>
            </c:strRef>
          </c:tx>
          <c:dLbls>
            <c:dLbl>
              <c:idx val="0"/>
              <c:layout>
                <c:manualLayout>
                  <c:x val="0"/>
                  <c:y val="3.7037037037037056E-2"/>
                </c:manualLayout>
              </c:layout>
              <c:spPr/>
              <c:txPr>
                <a:bodyPr/>
                <a:lstStyle/>
                <a:p>
                  <a:pPr>
                    <a:defRPr/>
                  </a:pPr>
                  <a:endParaRPr lang="da-DK"/>
                </a:p>
              </c:txPr>
              <c:dLblPos val="r"/>
              <c:showLegendKey val="1"/>
              <c:showVal val="1"/>
              <c:showCatName val="1"/>
              <c:showSerName val="1"/>
              <c:showPercent val="1"/>
              <c:showBubbleSiz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showLegendKey val="1"/>
            <c:showVal val="1"/>
            <c:showCatName val="1"/>
            <c:showSerName val="1"/>
            <c:showPercent val="1"/>
            <c:showBubbleSize val="1"/>
            <c:showLeaderLines val="0"/>
          </c:dLbls>
          <c:cat>
            <c:strRef>
              <c:f>'4 værelses'!$A$36:$A$65</c:f>
              <c:strCache>
                <c:ptCount val="3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pt idx="20">
                  <c:v>u</c:v>
                </c:pt>
                <c:pt idx="21">
                  <c:v>v</c:v>
                </c:pt>
                <c:pt idx="22">
                  <c:v>w</c:v>
                </c:pt>
                <c:pt idx="23">
                  <c:v>x</c:v>
                </c:pt>
                <c:pt idx="24">
                  <c:v>y</c:v>
                </c:pt>
                <c:pt idx="25">
                  <c:v>z</c:v>
                </c:pt>
                <c:pt idx="26">
                  <c:v>æ</c:v>
                </c:pt>
                <c:pt idx="27">
                  <c:v>ø</c:v>
                </c:pt>
                <c:pt idx="28">
                  <c:v>å</c:v>
                </c:pt>
                <c:pt idx="29">
                  <c:v>åå</c:v>
                </c:pt>
              </c:strCache>
            </c:strRef>
          </c:cat>
          <c:val>
            <c:numRef>
              <c:f>'4 værelses'!$B$36:$B$65</c:f>
              <c:numCache>
                <c:formatCode>General</c:formatCode>
                <c:ptCount val="30"/>
                <c:pt idx="0">
                  <c:v>879</c:v>
                </c:pt>
                <c:pt idx="1">
                  <c:v>1004</c:v>
                </c:pt>
                <c:pt idx="2">
                  <c:v>1018</c:v>
                </c:pt>
                <c:pt idx="3">
                  <c:v>1336</c:v>
                </c:pt>
                <c:pt idx="4">
                  <c:v>1770</c:v>
                </c:pt>
                <c:pt idx="5">
                  <c:v>1786</c:v>
                </c:pt>
                <c:pt idx="6">
                  <c:v>3094</c:v>
                </c:pt>
                <c:pt idx="7">
                  <c:v>3472</c:v>
                </c:pt>
                <c:pt idx="8">
                  <c:v>3673</c:v>
                </c:pt>
                <c:pt idx="9">
                  <c:v>4214</c:v>
                </c:pt>
                <c:pt idx="10">
                  <c:v>4488</c:v>
                </c:pt>
                <c:pt idx="11">
                  <c:v>5343</c:v>
                </c:pt>
                <c:pt idx="12">
                  <c:v>5422</c:v>
                </c:pt>
                <c:pt idx="13">
                  <c:v>5807</c:v>
                </c:pt>
                <c:pt idx="14">
                  <c:v>6091</c:v>
                </c:pt>
                <c:pt idx="15">
                  <c:v>6092</c:v>
                </c:pt>
                <c:pt idx="16">
                  <c:v>6106</c:v>
                </c:pt>
                <c:pt idx="17">
                  <c:v>6119</c:v>
                </c:pt>
                <c:pt idx="18">
                  <c:v>6332</c:v>
                </c:pt>
                <c:pt idx="19">
                  <c:v>6345</c:v>
                </c:pt>
                <c:pt idx="20">
                  <c:v>7073</c:v>
                </c:pt>
                <c:pt idx="21">
                  <c:v>7375</c:v>
                </c:pt>
                <c:pt idx="22">
                  <c:v>7447</c:v>
                </c:pt>
                <c:pt idx="23">
                  <c:v>8031</c:v>
                </c:pt>
                <c:pt idx="24">
                  <c:v>8046</c:v>
                </c:pt>
                <c:pt idx="25">
                  <c:v>8459</c:v>
                </c:pt>
                <c:pt idx="26">
                  <c:v>8820</c:v>
                </c:pt>
                <c:pt idx="27">
                  <c:v>9102</c:v>
                </c:pt>
                <c:pt idx="28">
                  <c:v>10679</c:v>
                </c:pt>
                <c:pt idx="29">
                  <c:v>11195</c:v>
                </c:pt>
              </c:numCache>
            </c:numRef>
          </c:val>
          <c:smooth val="1"/>
        </c:ser>
        <c:ser>
          <c:idx val="1"/>
          <c:order val="1"/>
          <c:tx>
            <c:strRef>
              <c:f>'4 værelses'!$C$35</c:f>
              <c:strCache>
                <c:ptCount val="1"/>
                <c:pt idx="0">
                  <c:v>4 værelses gennemsnit</c:v>
                </c:pt>
              </c:strCache>
            </c:strRef>
          </c:tx>
          <c:spPr>
            <a:ln w="12700">
              <a:solidFill>
                <a:schemeClr val="accent1"/>
              </a:solidFill>
            </a:ln>
          </c:spPr>
          <c:marker>
            <c:symbol val="square"/>
            <c:size val="2"/>
          </c:marker>
          <c:dLbls>
            <c:dLbl>
              <c:idx val="0"/>
              <c:layout>
                <c:manualLayout>
                  <c:x val="-2.5000000000000001E-2"/>
                  <c:y val="-3.2407407407407426E-2"/>
                </c:manualLayout>
              </c:layout>
              <c:spPr/>
              <c:txPr>
                <a:bodyPr/>
                <a:lstStyle/>
                <a:p>
                  <a:pPr>
                    <a:defRPr/>
                  </a:pPr>
                  <a:endParaRPr lang="da-DK"/>
                </a:p>
              </c:txPr>
              <c:dLblPos val="r"/>
              <c:showLegendKey val="1"/>
              <c:showVal val="1"/>
              <c:showCatName val="1"/>
              <c:showSerName val="1"/>
              <c:showPercent val="1"/>
              <c:showBubbleSiz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showLegendKey val="1"/>
            <c:showVal val="1"/>
            <c:showCatName val="1"/>
            <c:showSerName val="1"/>
            <c:showPercent val="1"/>
            <c:showBubbleSize val="1"/>
            <c:showLeaderLines val="0"/>
          </c:dLbls>
          <c:cat>
            <c:strRef>
              <c:f>'4 værelses'!$A$36:$A$65</c:f>
              <c:strCache>
                <c:ptCount val="3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pt idx="20">
                  <c:v>u</c:v>
                </c:pt>
                <c:pt idx="21">
                  <c:v>v</c:v>
                </c:pt>
                <c:pt idx="22">
                  <c:v>w</c:v>
                </c:pt>
                <c:pt idx="23">
                  <c:v>x</c:v>
                </c:pt>
                <c:pt idx="24">
                  <c:v>y</c:v>
                </c:pt>
                <c:pt idx="25">
                  <c:v>z</c:v>
                </c:pt>
                <c:pt idx="26">
                  <c:v>æ</c:v>
                </c:pt>
                <c:pt idx="27">
                  <c:v>ø</c:v>
                </c:pt>
                <c:pt idx="28">
                  <c:v>å</c:v>
                </c:pt>
                <c:pt idx="29">
                  <c:v>åå</c:v>
                </c:pt>
              </c:strCache>
            </c:strRef>
          </c:cat>
          <c:val>
            <c:numRef>
              <c:f>'4 værelses'!$C$36:$C$65</c:f>
              <c:numCache>
                <c:formatCode>0</c:formatCode>
                <c:ptCount val="30"/>
                <c:pt idx="0">
                  <c:v>5553.9333333333334</c:v>
                </c:pt>
                <c:pt idx="1">
                  <c:v>5553.9333333333334</c:v>
                </c:pt>
                <c:pt idx="2">
                  <c:v>5553.9333333333334</c:v>
                </c:pt>
                <c:pt idx="3">
                  <c:v>5553.9333333333334</c:v>
                </c:pt>
                <c:pt idx="4">
                  <c:v>5553.9333333333334</c:v>
                </c:pt>
                <c:pt idx="5">
                  <c:v>5553.9333333333334</c:v>
                </c:pt>
                <c:pt idx="6">
                  <c:v>5553.9333333333334</c:v>
                </c:pt>
                <c:pt idx="7">
                  <c:v>5553.9333333333334</c:v>
                </c:pt>
                <c:pt idx="8">
                  <c:v>5553.9333333333334</c:v>
                </c:pt>
                <c:pt idx="9">
                  <c:v>5553.9333333333334</c:v>
                </c:pt>
                <c:pt idx="10">
                  <c:v>5553.9333333333334</c:v>
                </c:pt>
                <c:pt idx="11">
                  <c:v>5553.9333333333334</c:v>
                </c:pt>
                <c:pt idx="12">
                  <c:v>5553.9333333333334</c:v>
                </c:pt>
                <c:pt idx="13">
                  <c:v>5553.9333333333334</c:v>
                </c:pt>
                <c:pt idx="14">
                  <c:v>5553.9333333333334</c:v>
                </c:pt>
                <c:pt idx="15">
                  <c:v>5553.9333333333334</c:v>
                </c:pt>
                <c:pt idx="16">
                  <c:v>5553.9333333333334</c:v>
                </c:pt>
                <c:pt idx="17">
                  <c:v>5553.9333333333334</c:v>
                </c:pt>
                <c:pt idx="18">
                  <c:v>5553.9333333333334</c:v>
                </c:pt>
                <c:pt idx="19">
                  <c:v>5553.9333333333334</c:v>
                </c:pt>
                <c:pt idx="20">
                  <c:v>5553.9333333333334</c:v>
                </c:pt>
                <c:pt idx="21">
                  <c:v>5553.9333333333334</c:v>
                </c:pt>
                <c:pt idx="22">
                  <c:v>5553.9333333333334</c:v>
                </c:pt>
                <c:pt idx="23">
                  <c:v>5553.9333333333334</c:v>
                </c:pt>
                <c:pt idx="24">
                  <c:v>5553.9333333333334</c:v>
                </c:pt>
                <c:pt idx="25">
                  <c:v>5553.9333333333334</c:v>
                </c:pt>
                <c:pt idx="26">
                  <c:v>5553.9333333333334</c:v>
                </c:pt>
                <c:pt idx="27">
                  <c:v>5553.9333333333334</c:v>
                </c:pt>
                <c:pt idx="28">
                  <c:v>5553.9333333333334</c:v>
                </c:pt>
                <c:pt idx="29">
                  <c:v>5553.9333333333334</c:v>
                </c:pt>
              </c:numCache>
            </c:numRef>
          </c:val>
          <c:smooth val="1"/>
        </c:ser>
        <c:dLbls>
          <c:showLegendKey val="0"/>
          <c:showVal val="0"/>
          <c:showCatName val="0"/>
          <c:showSerName val="0"/>
          <c:showPercent val="0"/>
          <c:showBubbleSize val="0"/>
        </c:dLbls>
        <c:marker val="1"/>
        <c:smooth val="0"/>
        <c:axId val="74822784"/>
        <c:axId val="74824320"/>
      </c:lineChart>
      <c:catAx>
        <c:axId val="74822784"/>
        <c:scaling>
          <c:orientation val="minMax"/>
        </c:scaling>
        <c:delete val="1"/>
        <c:axPos val="b"/>
        <c:numFmt formatCode="General" sourceLinked="1"/>
        <c:majorTickMark val="cross"/>
        <c:minorTickMark val="cross"/>
        <c:tickLblPos val="nextTo"/>
        <c:crossAx val="74824320"/>
        <c:crosses val="autoZero"/>
        <c:auto val="1"/>
        <c:lblAlgn val="ctr"/>
        <c:lblOffset val="100"/>
        <c:noMultiLvlLbl val="1"/>
      </c:catAx>
      <c:valAx>
        <c:axId val="74824320"/>
        <c:scaling>
          <c:orientation val="minMax"/>
        </c:scaling>
        <c:delete val="1"/>
        <c:axPos val="l"/>
        <c:majorGridlines/>
        <c:numFmt formatCode="General" sourceLinked="1"/>
        <c:majorTickMark val="cross"/>
        <c:minorTickMark val="cross"/>
        <c:tickLblPos val="nextTo"/>
        <c:crossAx val="74822784"/>
        <c:crosses val="autoZero"/>
        <c:crossBetween val="between"/>
      </c:valAx>
    </c:plotArea>
    <c:legend>
      <c:legendPos val="r"/>
      <c:overlay val="1"/>
    </c:legend>
    <c:plotVisOnly val="1"/>
    <c:dispBlanksAs val="gap"/>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roundedCorners val="1"/>
  <c:style val="2"/>
  <c:chart>
    <c:autoTitleDeleted val="1"/>
    <c:plotArea>
      <c:layout/>
      <c:lineChart>
        <c:grouping val="standard"/>
        <c:varyColors val="1"/>
        <c:ser>
          <c:idx val="0"/>
          <c:order val="0"/>
          <c:tx>
            <c:strRef>
              <c:f>'3 værelses'!$C$64</c:f>
              <c:strCache>
                <c:ptCount val="1"/>
                <c:pt idx="0">
                  <c:v>3 værelses forbrug</c:v>
                </c:pt>
              </c:strCache>
            </c:strRef>
          </c:tx>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showLegendKey val="1"/>
            <c:showVal val="1"/>
            <c:showCatName val="1"/>
            <c:showSerName val="1"/>
            <c:showPercent val="1"/>
            <c:showBubbleSize val="1"/>
            <c:showLeaderLines val="0"/>
          </c:dLbls>
          <c:cat>
            <c:strRef>
              <c:f>'3 værelses'!$B$65:$B$124</c:f>
              <c:strCache>
                <c:ptCount val="60"/>
                <c:pt idx="0">
                  <c:v>ø</c:v>
                </c:pt>
                <c:pt idx="1">
                  <c:v>tt</c:v>
                </c:pt>
                <c:pt idx="2">
                  <c:v>åå</c:v>
                </c:pt>
                <c:pt idx="3">
                  <c:v>x</c:v>
                </c:pt>
                <c:pt idx="4">
                  <c:v>mm</c:v>
                </c:pt>
                <c:pt idx="5">
                  <c:v>ss</c:v>
                </c:pt>
                <c:pt idx="6">
                  <c:v>dd</c:v>
                </c:pt>
                <c:pt idx="7">
                  <c:v>t</c:v>
                </c:pt>
                <c:pt idx="8">
                  <c:v>l</c:v>
                </c:pt>
                <c:pt idx="9">
                  <c:v>qq</c:v>
                </c:pt>
                <c:pt idx="10">
                  <c:v>y</c:v>
                </c:pt>
                <c:pt idx="11">
                  <c:v>ww</c:v>
                </c:pt>
                <c:pt idx="12">
                  <c:v>vv</c:v>
                </c:pt>
                <c:pt idx="13">
                  <c:v>tt</c:v>
                </c:pt>
                <c:pt idx="14">
                  <c:v>j</c:v>
                </c:pt>
                <c:pt idx="15">
                  <c:v>hh</c:v>
                </c:pt>
                <c:pt idx="16">
                  <c:v>i</c:v>
                </c:pt>
                <c:pt idx="17">
                  <c:v>c</c:v>
                </c:pt>
                <c:pt idx="18">
                  <c:v>å</c:v>
                </c:pt>
                <c:pt idx="19">
                  <c:v>p</c:v>
                </c:pt>
                <c:pt idx="20">
                  <c:v>z</c:v>
                </c:pt>
                <c:pt idx="21">
                  <c:v>nn</c:v>
                </c:pt>
                <c:pt idx="22">
                  <c:v>cc</c:v>
                </c:pt>
                <c:pt idx="23">
                  <c:v>r</c:v>
                </c:pt>
                <c:pt idx="24">
                  <c:v>w</c:v>
                </c:pt>
                <c:pt idx="25">
                  <c:v>ff</c:v>
                </c:pt>
                <c:pt idx="26">
                  <c:v>b</c:v>
                </c:pt>
                <c:pt idx="27">
                  <c:v>vv</c:v>
                </c:pt>
                <c:pt idx="28">
                  <c:v>pp</c:v>
                </c:pt>
                <c:pt idx="29">
                  <c:v>bb</c:v>
                </c:pt>
                <c:pt idx="30">
                  <c:v>jj</c:v>
                </c:pt>
                <c:pt idx="31">
                  <c:v>aa</c:v>
                </c:pt>
                <c:pt idx="32">
                  <c:v>h</c:v>
                </c:pt>
                <c:pt idx="33">
                  <c:v>xx</c:v>
                </c:pt>
                <c:pt idx="34">
                  <c:v>m</c:v>
                </c:pt>
                <c:pt idx="35">
                  <c:v>rr</c:v>
                </c:pt>
                <c:pt idx="36">
                  <c:v>ss</c:v>
                </c:pt>
                <c:pt idx="37">
                  <c:v>ii</c:v>
                </c:pt>
                <c:pt idx="38">
                  <c:v>ll</c:v>
                </c:pt>
                <c:pt idx="39">
                  <c:v>kk</c:v>
                </c:pt>
                <c:pt idx="40">
                  <c:v>q</c:v>
                </c:pt>
                <c:pt idx="41">
                  <c:v>uu</c:v>
                </c:pt>
                <c:pt idx="42">
                  <c:v>a</c:v>
                </c:pt>
                <c:pt idx="43">
                  <c:v>æ</c:v>
                </c:pt>
                <c:pt idx="44">
                  <c:v>g</c:v>
                </c:pt>
                <c:pt idx="45">
                  <c:v>o</c:v>
                </c:pt>
                <c:pt idx="46">
                  <c:v>rr</c:v>
                </c:pt>
                <c:pt idx="47">
                  <c:v>ww</c:v>
                </c:pt>
                <c:pt idx="48">
                  <c:v>ee</c:v>
                </c:pt>
                <c:pt idx="49">
                  <c:v>u</c:v>
                </c:pt>
                <c:pt idx="50">
                  <c:v>v</c:v>
                </c:pt>
                <c:pt idx="51">
                  <c:v>oo</c:v>
                </c:pt>
                <c:pt idx="52">
                  <c:v>s</c:v>
                </c:pt>
                <c:pt idx="53">
                  <c:v>k</c:v>
                </c:pt>
                <c:pt idx="54">
                  <c:v>gg</c:v>
                </c:pt>
                <c:pt idx="55">
                  <c:v>d</c:v>
                </c:pt>
                <c:pt idx="56">
                  <c:v>n</c:v>
                </c:pt>
                <c:pt idx="57">
                  <c:v>f</c:v>
                </c:pt>
                <c:pt idx="58">
                  <c:v>e</c:v>
                </c:pt>
                <c:pt idx="59">
                  <c:v>uu</c:v>
                </c:pt>
              </c:strCache>
            </c:strRef>
          </c:cat>
          <c:val>
            <c:numRef>
              <c:f>'3 værelses'!$C$65:$C$124</c:f>
              <c:numCache>
                <c:formatCode>General</c:formatCode>
                <c:ptCount val="60"/>
                <c:pt idx="0">
                  <c:v>190</c:v>
                </c:pt>
                <c:pt idx="1">
                  <c:v>468</c:v>
                </c:pt>
                <c:pt idx="2">
                  <c:v>621</c:v>
                </c:pt>
                <c:pt idx="3">
                  <c:v>639</c:v>
                </c:pt>
                <c:pt idx="4">
                  <c:v>1049</c:v>
                </c:pt>
                <c:pt idx="5">
                  <c:v>1150</c:v>
                </c:pt>
                <c:pt idx="6">
                  <c:v>1309</c:v>
                </c:pt>
                <c:pt idx="7">
                  <c:v>1392</c:v>
                </c:pt>
                <c:pt idx="8">
                  <c:v>1562</c:v>
                </c:pt>
                <c:pt idx="9">
                  <c:v>1756</c:v>
                </c:pt>
                <c:pt idx="10">
                  <c:v>1997</c:v>
                </c:pt>
                <c:pt idx="11">
                  <c:v>2044</c:v>
                </c:pt>
                <c:pt idx="12">
                  <c:v>2266</c:v>
                </c:pt>
                <c:pt idx="13">
                  <c:v>2351</c:v>
                </c:pt>
                <c:pt idx="14">
                  <c:v>2414</c:v>
                </c:pt>
                <c:pt idx="15">
                  <c:v>2481</c:v>
                </c:pt>
                <c:pt idx="16">
                  <c:v>2501</c:v>
                </c:pt>
                <c:pt idx="17">
                  <c:v>2511</c:v>
                </c:pt>
                <c:pt idx="18">
                  <c:v>2589</c:v>
                </c:pt>
                <c:pt idx="19">
                  <c:v>2660</c:v>
                </c:pt>
                <c:pt idx="20">
                  <c:v>2870</c:v>
                </c:pt>
                <c:pt idx="21">
                  <c:v>3090</c:v>
                </c:pt>
                <c:pt idx="22">
                  <c:v>3142</c:v>
                </c:pt>
                <c:pt idx="23">
                  <c:v>3150</c:v>
                </c:pt>
                <c:pt idx="24">
                  <c:v>3290</c:v>
                </c:pt>
                <c:pt idx="25">
                  <c:v>3394</c:v>
                </c:pt>
                <c:pt idx="26">
                  <c:v>3453</c:v>
                </c:pt>
                <c:pt idx="27">
                  <c:v>3481</c:v>
                </c:pt>
                <c:pt idx="28">
                  <c:v>3491</c:v>
                </c:pt>
                <c:pt idx="29">
                  <c:v>3711</c:v>
                </c:pt>
                <c:pt idx="30">
                  <c:v>3796</c:v>
                </c:pt>
                <c:pt idx="31">
                  <c:v>3859</c:v>
                </c:pt>
                <c:pt idx="32">
                  <c:v>3883</c:v>
                </c:pt>
                <c:pt idx="33">
                  <c:v>3935</c:v>
                </c:pt>
                <c:pt idx="34">
                  <c:v>4022</c:v>
                </c:pt>
                <c:pt idx="35">
                  <c:v>4192</c:v>
                </c:pt>
                <c:pt idx="36">
                  <c:v>4362</c:v>
                </c:pt>
                <c:pt idx="37">
                  <c:v>4510</c:v>
                </c:pt>
                <c:pt idx="38">
                  <c:v>4530</c:v>
                </c:pt>
                <c:pt idx="39">
                  <c:v>4546</c:v>
                </c:pt>
                <c:pt idx="40">
                  <c:v>4573</c:v>
                </c:pt>
                <c:pt idx="41">
                  <c:v>4600</c:v>
                </c:pt>
                <c:pt idx="42">
                  <c:v>4673</c:v>
                </c:pt>
                <c:pt idx="43">
                  <c:v>4766</c:v>
                </c:pt>
                <c:pt idx="44">
                  <c:v>4778</c:v>
                </c:pt>
                <c:pt idx="45">
                  <c:v>4850</c:v>
                </c:pt>
                <c:pt idx="46">
                  <c:v>4932</c:v>
                </c:pt>
                <c:pt idx="47">
                  <c:v>4951</c:v>
                </c:pt>
                <c:pt idx="48">
                  <c:v>4974</c:v>
                </c:pt>
                <c:pt idx="49">
                  <c:v>5250</c:v>
                </c:pt>
                <c:pt idx="50">
                  <c:v>5447</c:v>
                </c:pt>
                <c:pt idx="51">
                  <c:v>5613</c:v>
                </c:pt>
                <c:pt idx="52">
                  <c:v>5865</c:v>
                </c:pt>
                <c:pt idx="53">
                  <c:v>6157</c:v>
                </c:pt>
                <c:pt idx="54">
                  <c:v>6274</c:v>
                </c:pt>
                <c:pt idx="55">
                  <c:v>7092</c:v>
                </c:pt>
                <c:pt idx="56">
                  <c:v>7354</c:v>
                </c:pt>
                <c:pt idx="57">
                  <c:v>8986</c:v>
                </c:pt>
                <c:pt idx="58">
                  <c:v>9425</c:v>
                </c:pt>
                <c:pt idx="59">
                  <c:v>11113</c:v>
                </c:pt>
              </c:numCache>
            </c:numRef>
          </c:val>
          <c:smooth val="1"/>
        </c:ser>
        <c:ser>
          <c:idx val="1"/>
          <c:order val="1"/>
          <c:tx>
            <c:strRef>
              <c:f>'3 værelses'!$D$64</c:f>
              <c:strCache>
                <c:ptCount val="1"/>
                <c:pt idx="0">
                  <c:v>3 værelses gennemsnit</c:v>
                </c:pt>
              </c:strCache>
            </c:strRef>
          </c:tx>
          <c:spPr>
            <a:ln w="12700"/>
          </c:spPr>
          <c:marker>
            <c:symbol val="none"/>
          </c:marker>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showLegendKey val="1"/>
            <c:showVal val="1"/>
            <c:showCatName val="1"/>
            <c:showSerName val="1"/>
            <c:showPercent val="1"/>
            <c:showBubbleSize val="1"/>
            <c:showLeaderLines val="0"/>
          </c:dLbls>
          <c:cat>
            <c:strRef>
              <c:f>'3 værelses'!$B$65:$B$124</c:f>
              <c:strCache>
                <c:ptCount val="60"/>
                <c:pt idx="0">
                  <c:v>ø</c:v>
                </c:pt>
                <c:pt idx="1">
                  <c:v>tt</c:v>
                </c:pt>
                <c:pt idx="2">
                  <c:v>åå</c:v>
                </c:pt>
                <c:pt idx="3">
                  <c:v>x</c:v>
                </c:pt>
                <c:pt idx="4">
                  <c:v>mm</c:v>
                </c:pt>
                <c:pt idx="5">
                  <c:v>ss</c:v>
                </c:pt>
                <c:pt idx="6">
                  <c:v>dd</c:v>
                </c:pt>
                <c:pt idx="7">
                  <c:v>t</c:v>
                </c:pt>
                <c:pt idx="8">
                  <c:v>l</c:v>
                </c:pt>
                <c:pt idx="9">
                  <c:v>qq</c:v>
                </c:pt>
                <c:pt idx="10">
                  <c:v>y</c:v>
                </c:pt>
                <c:pt idx="11">
                  <c:v>ww</c:v>
                </c:pt>
                <c:pt idx="12">
                  <c:v>vv</c:v>
                </c:pt>
                <c:pt idx="13">
                  <c:v>tt</c:v>
                </c:pt>
                <c:pt idx="14">
                  <c:v>j</c:v>
                </c:pt>
                <c:pt idx="15">
                  <c:v>hh</c:v>
                </c:pt>
                <c:pt idx="16">
                  <c:v>i</c:v>
                </c:pt>
                <c:pt idx="17">
                  <c:v>c</c:v>
                </c:pt>
                <c:pt idx="18">
                  <c:v>å</c:v>
                </c:pt>
                <c:pt idx="19">
                  <c:v>p</c:v>
                </c:pt>
                <c:pt idx="20">
                  <c:v>z</c:v>
                </c:pt>
                <c:pt idx="21">
                  <c:v>nn</c:v>
                </c:pt>
                <c:pt idx="22">
                  <c:v>cc</c:v>
                </c:pt>
                <c:pt idx="23">
                  <c:v>r</c:v>
                </c:pt>
                <c:pt idx="24">
                  <c:v>w</c:v>
                </c:pt>
                <c:pt idx="25">
                  <c:v>ff</c:v>
                </c:pt>
                <c:pt idx="26">
                  <c:v>b</c:v>
                </c:pt>
                <c:pt idx="27">
                  <c:v>vv</c:v>
                </c:pt>
                <c:pt idx="28">
                  <c:v>pp</c:v>
                </c:pt>
                <c:pt idx="29">
                  <c:v>bb</c:v>
                </c:pt>
                <c:pt idx="30">
                  <c:v>jj</c:v>
                </c:pt>
                <c:pt idx="31">
                  <c:v>aa</c:v>
                </c:pt>
                <c:pt idx="32">
                  <c:v>h</c:v>
                </c:pt>
                <c:pt idx="33">
                  <c:v>xx</c:v>
                </c:pt>
                <c:pt idx="34">
                  <c:v>m</c:v>
                </c:pt>
                <c:pt idx="35">
                  <c:v>rr</c:v>
                </c:pt>
                <c:pt idx="36">
                  <c:v>ss</c:v>
                </c:pt>
                <c:pt idx="37">
                  <c:v>ii</c:v>
                </c:pt>
                <c:pt idx="38">
                  <c:v>ll</c:v>
                </c:pt>
                <c:pt idx="39">
                  <c:v>kk</c:v>
                </c:pt>
                <c:pt idx="40">
                  <c:v>q</c:v>
                </c:pt>
                <c:pt idx="41">
                  <c:v>uu</c:v>
                </c:pt>
                <c:pt idx="42">
                  <c:v>a</c:v>
                </c:pt>
                <c:pt idx="43">
                  <c:v>æ</c:v>
                </c:pt>
                <c:pt idx="44">
                  <c:v>g</c:v>
                </c:pt>
                <c:pt idx="45">
                  <c:v>o</c:v>
                </c:pt>
                <c:pt idx="46">
                  <c:v>rr</c:v>
                </c:pt>
                <c:pt idx="47">
                  <c:v>ww</c:v>
                </c:pt>
                <c:pt idx="48">
                  <c:v>ee</c:v>
                </c:pt>
                <c:pt idx="49">
                  <c:v>u</c:v>
                </c:pt>
                <c:pt idx="50">
                  <c:v>v</c:v>
                </c:pt>
                <c:pt idx="51">
                  <c:v>oo</c:v>
                </c:pt>
                <c:pt idx="52">
                  <c:v>s</c:v>
                </c:pt>
                <c:pt idx="53">
                  <c:v>k</c:v>
                </c:pt>
                <c:pt idx="54">
                  <c:v>gg</c:v>
                </c:pt>
                <c:pt idx="55">
                  <c:v>d</c:v>
                </c:pt>
                <c:pt idx="56">
                  <c:v>n</c:v>
                </c:pt>
                <c:pt idx="57">
                  <c:v>f</c:v>
                </c:pt>
                <c:pt idx="58">
                  <c:v>e</c:v>
                </c:pt>
                <c:pt idx="59">
                  <c:v>uu</c:v>
                </c:pt>
              </c:strCache>
            </c:strRef>
          </c:cat>
          <c:val>
            <c:numRef>
              <c:f>'3 værelses'!$D$65:$D$124</c:f>
              <c:numCache>
                <c:formatCode>0</c:formatCode>
                <c:ptCount val="60"/>
                <c:pt idx="0">
                  <c:v>3838.8333333333335</c:v>
                </c:pt>
                <c:pt idx="1">
                  <c:v>3838.8333333333335</c:v>
                </c:pt>
                <c:pt idx="2">
                  <c:v>3838.8333333333335</c:v>
                </c:pt>
                <c:pt idx="3">
                  <c:v>3838.8333333333335</c:v>
                </c:pt>
                <c:pt idx="4">
                  <c:v>3838.8333333333335</c:v>
                </c:pt>
                <c:pt idx="5">
                  <c:v>3838.8333333333335</c:v>
                </c:pt>
                <c:pt idx="6">
                  <c:v>3838.8333333333335</c:v>
                </c:pt>
                <c:pt idx="7">
                  <c:v>3838.8333333333335</c:v>
                </c:pt>
                <c:pt idx="8">
                  <c:v>3838.8333333333335</c:v>
                </c:pt>
                <c:pt idx="9">
                  <c:v>3838.8333333333335</c:v>
                </c:pt>
                <c:pt idx="10">
                  <c:v>3838.8333333333335</c:v>
                </c:pt>
                <c:pt idx="11">
                  <c:v>3838.8333333333335</c:v>
                </c:pt>
                <c:pt idx="12">
                  <c:v>3838.8333333333335</c:v>
                </c:pt>
                <c:pt idx="13">
                  <c:v>3838.8333333333335</c:v>
                </c:pt>
                <c:pt idx="14">
                  <c:v>3838.8333333333335</c:v>
                </c:pt>
                <c:pt idx="15">
                  <c:v>3838.8333333333335</c:v>
                </c:pt>
                <c:pt idx="16">
                  <c:v>3838.8333333333335</c:v>
                </c:pt>
                <c:pt idx="17">
                  <c:v>3838.8333333333335</c:v>
                </c:pt>
                <c:pt idx="18">
                  <c:v>3838.8333333333335</c:v>
                </c:pt>
                <c:pt idx="19">
                  <c:v>3838.8333333333335</c:v>
                </c:pt>
                <c:pt idx="20">
                  <c:v>3838.8333333333335</c:v>
                </c:pt>
                <c:pt idx="21">
                  <c:v>3838.8333333333335</c:v>
                </c:pt>
                <c:pt idx="22">
                  <c:v>3838.8333333333335</c:v>
                </c:pt>
                <c:pt idx="23">
                  <c:v>3838.8333333333335</c:v>
                </c:pt>
                <c:pt idx="24">
                  <c:v>3838.8333333333335</c:v>
                </c:pt>
                <c:pt idx="25">
                  <c:v>3838.8333333333335</c:v>
                </c:pt>
                <c:pt idx="26">
                  <c:v>3838.8333333333335</c:v>
                </c:pt>
                <c:pt idx="27">
                  <c:v>3838.8333333333335</c:v>
                </c:pt>
                <c:pt idx="28">
                  <c:v>3838.8333333333335</c:v>
                </c:pt>
                <c:pt idx="29">
                  <c:v>3838.8333333333335</c:v>
                </c:pt>
                <c:pt idx="30">
                  <c:v>3838.8333333333335</c:v>
                </c:pt>
                <c:pt idx="31">
                  <c:v>3838.8333333333335</c:v>
                </c:pt>
                <c:pt idx="32">
                  <c:v>3838.8333333333335</c:v>
                </c:pt>
                <c:pt idx="33">
                  <c:v>3838.8333333333335</c:v>
                </c:pt>
                <c:pt idx="34">
                  <c:v>3838.8333333333335</c:v>
                </c:pt>
                <c:pt idx="35">
                  <c:v>3838.8333333333335</c:v>
                </c:pt>
                <c:pt idx="36">
                  <c:v>3838.8333333333335</c:v>
                </c:pt>
                <c:pt idx="37">
                  <c:v>3838.8333333333335</c:v>
                </c:pt>
                <c:pt idx="38">
                  <c:v>3838.8333333333335</c:v>
                </c:pt>
                <c:pt idx="39">
                  <c:v>3838.8333333333335</c:v>
                </c:pt>
                <c:pt idx="40">
                  <c:v>3838.8333333333335</c:v>
                </c:pt>
                <c:pt idx="41">
                  <c:v>3838.8333333333335</c:v>
                </c:pt>
                <c:pt idx="42">
                  <c:v>3838.8333333333335</c:v>
                </c:pt>
                <c:pt idx="43">
                  <c:v>3838.8333333333335</c:v>
                </c:pt>
                <c:pt idx="44">
                  <c:v>3838.8333333333335</c:v>
                </c:pt>
                <c:pt idx="45">
                  <c:v>3838.8333333333335</c:v>
                </c:pt>
                <c:pt idx="46">
                  <c:v>3838.8333333333335</c:v>
                </c:pt>
                <c:pt idx="47">
                  <c:v>3838.8333333333335</c:v>
                </c:pt>
                <c:pt idx="48">
                  <c:v>3838.8333333333335</c:v>
                </c:pt>
                <c:pt idx="49">
                  <c:v>3838.8333333333335</c:v>
                </c:pt>
                <c:pt idx="50">
                  <c:v>3838.8333333333335</c:v>
                </c:pt>
                <c:pt idx="51">
                  <c:v>3838.8333333333335</c:v>
                </c:pt>
                <c:pt idx="52">
                  <c:v>3838.8333333333335</c:v>
                </c:pt>
                <c:pt idx="53">
                  <c:v>3838.8333333333335</c:v>
                </c:pt>
                <c:pt idx="54">
                  <c:v>3838.8333333333335</c:v>
                </c:pt>
                <c:pt idx="55">
                  <c:v>3838.8333333333335</c:v>
                </c:pt>
                <c:pt idx="56">
                  <c:v>3838.8333333333335</c:v>
                </c:pt>
                <c:pt idx="57">
                  <c:v>3838.8333333333335</c:v>
                </c:pt>
                <c:pt idx="58">
                  <c:v>3838.8333333333335</c:v>
                </c:pt>
                <c:pt idx="59">
                  <c:v>3838.8333333333335</c:v>
                </c:pt>
              </c:numCache>
            </c:numRef>
          </c:val>
          <c:smooth val="1"/>
        </c:ser>
        <c:dLbls>
          <c:showLegendKey val="0"/>
          <c:showVal val="0"/>
          <c:showCatName val="0"/>
          <c:showSerName val="0"/>
          <c:showPercent val="0"/>
          <c:showBubbleSize val="0"/>
        </c:dLbls>
        <c:marker val="1"/>
        <c:smooth val="0"/>
        <c:axId val="75020928"/>
        <c:axId val="75035008"/>
      </c:lineChart>
      <c:catAx>
        <c:axId val="75020928"/>
        <c:scaling>
          <c:orientation val="minMax"/>
        </c:scaling>
        <c:delete val="1"/>
        <c:axPos val="b"/>
        <c:numFmt formatCode="General" sourceLinked="1"/>
        <c:majorTickMark val="cross"/>
        <c:minorTickMark val="cross"/>
        <c:tickLblPos val="nextTo"/>
        <c:crossAx val="75035008"/>
        <c:crosses val="autoZero"/>
        <c:auto val="1"/>
        <c:lblAlgn val="ctr"/>
        <c:lblOffset val="100"/>
        <c:noMultiLvlLbl val="1"/>
      </c:catAx>
      <c:valAx>
        <c:axId val="75035008"/>
        <c:scaling>
          <c:orientation val="minMax"/>
        </c:scaling>
        <c:delete val="1"/>
        <c:axPos val="l"/>
        <c:majorGridlines/>
        <c:numFmt formatCode="General" sourceLinked="1"/>
        <c:majorTickMark val="cross"/>
        <c:minorTickMark val="cross"/>
        <c:tickLblPos val="nextTo"/>
        <c:crossAx val="75020928"/>
        <c:crosses val="autoZero"/>
        <c:crossBetween val="between"/>
      </c:valAx>
    </c:plotArea>
    <c:legend>
      <c:legendPos val="r"/>
      <c:overlay val="1"/>
    </c:legend>
    <c:plotVisOnly val="1"/>
    <c:dispBlanksAs val="gap"/>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a-DK"/>
  <c:roundedCorners val="1"/>
  <c:style val="2"/>
  <c:chart>
    <c:autoTitleDeleted val="1"/>
    <c:plotArea>
      <c:layout/>
      <c:lineChart>
        <c:grouping val="standard"/>
        <c:varyColors val="1"/>
        <c:ser>
          <c:idx val="0"/>
          <c:order val="0"/>
          <c:tx>
            <c:strRef>
              <c:f>'2 værelses'!$B$34</c:f>
              <c:strCache>
                <c:ptCount val="1"/>
                <c:pt idx="0">
                  <c:v>2 værelses forbrug</c:v>
                </c:pt>
              </c:strCache>
            </c:strRef>
          </c:tx>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showLegendKey val="1"/>
            <c:showVal val="1"/>
            <c:showCatName val="1"/>
            <c:showSerName val="1"/>
            <c:showPercent val="1"/>
            <c:showBubbleSize val="1"/>
            <c:showLeaderLines val="0"/>
          </c:dLbls>
          <c:cat>
            <c:strRef>
              <c:f>'2 værelses'!$A$35:$A$60</c:f>
              <c:strCache>
                <c:ptCount val="26"/>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pt idx="20">
                  <c:v>u</c:v>
                </c:pt>
                <c:pt idx="21">
                  <c:v>v</c:v>
                </c:pt>
                <c:pt idx="22">
                  <c:v>w</c:v>
                </c:pt>
                <c:pt idx="23">
                  <c:v>x</c:v>
                </c:pt>
                <c:pt idx="24">
                  <c:v>y</c:v>
                </c:pt>
                <c:pt idx="25">
                  <c:v>z</c:v>
                </c:pt>
              </c:strCache>
            </c:strRef>
          </c:cat>
          <c:val>
            <c:numRef>
              <c:f>'2 værelses'!$B$35:$B$60</c:f>
              <c:numCache>
                <c:formatCode>General</c:formatCode>
                <c:ptCount val="26"/>
                <c:pt idx="0">
                  <c:v>300</c:v>
                </c:pt>
                <c:pt idx="1">
                  <c:v>467</c:v>
                </c:pt>
                <c:pt idx="2">
                  <c:v>585</c:v>
                </c:pt>
                <c:pt idx="3">
                  <c:v>673</c:v>
                </c:pt>
                <c:pt idx="4">
                  <c:v>885</c:v>
                </c:pt>
                <c:pt idx="5">
                  <c:v>1328</c:v>
                </c:pt>
                <c:pt idx="6">
                  <c:v>1360</c:v>
                </c:pt>
                <c:pt idx="7">
                  <c:v>1377</c:v>
                </c:pt>
                <c:pt idx="8">
                  <c:v>1409</c:v>
                </c:pt>
                <c:pt idx="9">
                  <c:v>1457</c:v>
                </c:pt>
                <c:pt idx="10">
                  <c:v>1573</c:v>
                </c:pt>
                <c:pt idx="11">
                  <c:v>1632</c:v>
                </c:pt>
                <c:pt idx="12">
                  <c:v>2253</c:v>
                </c:pt>
                <c:pt idx="13">
                  <c:v>2431</c:v>
                </c:pt>
                <c:pt idx="14">
                  <c:v>2485</c:v>
                </c:pt>
                <c:pt idx="15">
                  <c:v>2535</c:v>
                </c:pt>
                <c:pt idx="16">
                  <c:v>3210</c:v>
                </c:pt>
                <c:pt idx="17">
                  <c:v>3225</c:v>
                </c:pt>
                <c:pt idx="18">
                  <c:v>3227</c:v>
                </c:pt>
                <c:pt idx="19">
                  <c:v>3310</c:v>
                </c:pt>
                <c:pt idx="20">
                  <c:v>3382</c:v>
                </c:pt>
                <c:pt idx="21">
                  <c:v>4306</c:v>
                </c:pt>
                <c:pt idx="22">
                  <c:v>5073</c:v>
                </c:pt>
                <c:pt idx="23">
                  <c:v>6013</c:v>
                </c:pt>
                <c:pt idx="24">
                  <c:v>6048</c:v>
                </c:pt>
                <c:pt idx="25">
                  <c:v>7638</c:v>
                </c:pt>
              </c:numCache>
            </c:numRef>
          </c:val>
          <c:smooth val="1"/>
        </c:ser>
        <c:ser>
          <c:idx val="1"/>
          <c:order val="1"/>
          <c:tx>
            <c:strRef>
              <c:f>'2 værelses'!$C$34</c:f>
              <c:strCache>
                <c:ptCount val="1"/>
                <c:pt idx="0">
                  <c:v>2 værelses gennemsnit</c:v>
                </c:pt>
              </c:strCache>
            </c:strRef>
          </c:tx>
          <c:marker>
            <c:symbol val="none"/>
          </c:marker>
          <c:dLbls>
            <c:dLbl>
              <c:idx val="0"/>
              <c:layout>
                <c:manualLayout>
                  <c:x val="5.5555555555555558E-3"/>
                  <c:y val="-2.3148148148148147E-2"/>
                </c:manualLayout>
              </c:layout>
              <c:spPr/>
              <c:txPr>
                <a:bodyPr/>
                <a:lstStyle/>
                <a:p>
                  <a:pPr>
                    <a:defRPr/>
                  </a:pPr>
                  <a:endParaRPr lang="da-DK"/>
                </a:p>
              </c:txPr>
              <c:dLblPos val="r"/>
              <c:showLegendKey val="1"/>
              <c:showVal val="1"/>
              <c:showCatName val="1"/>
              <c:showSerName val="1"/>
              <c:showPercent val="1"/>
              <c:showBubbleSiz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showLegendKey val="1"/>
            <c:showVal val="1"/>
            <c:showCatName val="1"/>
            <c:showSerName val="1"/>
            <c:showPercent val="1"/>
            <c:showBubbleSize val="1"/>
            <c:showLeaderLines val="0"/>
          </c:dLbls>
          <c:cat>
            <c:strRef>
              <c:f>'2 værelses'!$A$35:$A$60</c:f>
              <c:strCache>
                <c:ptCount val="26"/>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pt idx="20">
                  <c:v>u</c:v>
                </c:pt>
                <c:pt idx="21">
                  <c:v>v</c:v>
                </c:pt>
                <c:pt idx="22">
                  <c:v>w</c:v>
                </c:pt>
                <c:pt idx="23">
                  <c:v>x</c:v>
                </c:pt>
                <c:pt idx="24">
                  <c:v>y</c:v>
                </c:pt>
                <c:pt idx="25">
                  <c:v>z</c:v>
                </c:pt>
              </c:strCache>
            </c:strRef>
          </c:cat>
          <c:val>
            <c:numRef>
              <c:f>'2 værelses'!$C$35:$C$60</c:f>
              <c:numCache>
                <c:formatCode>0</c:formatCode>
                <c:ptCount val="26"/>
                <c:pt idx="0">
                  <c:v>2622.3846153846152</c:v>
                </c:pt>
                <c:pt idx="1">
                  <c:v>2622.3846153846152</c:v>
                </c:pt>
                <c:pt idx="2">
                  <c:v>2622.3846153846152</c:v>
                </c:pt>
                <c:pt idx="3">
                  <c:v>2622.3846153846152</c:v>
                </c:pt>
                <c:pt idx="4">
                  <c:v>2622.3846153846152</c:v>
                </c:pt>
                <c:pt idx="5">
                  <c:v>2622.3846153846152</c:v>
                </c:pt>
                <c:pt idx="6">
                  <c:v>2622.3846153846152</c:v>
                </c:pt>
                <c:pt idx="7">
                  <c:v>2622.3846153846152</c:v>
                </c:pt>
                <c:pt idx="8">
                  <c:v>2622.3846153846152</c:v>
                </c:pt>
                <c:pt idx="9">
                  <c:v>2622.3846153846152</c:v>
                </c:pt>
                <c:pt idx="10">
                  <c:v>2622.3846153846152</c:v>
                </c:pt>
                <c:pt idx="11">
                  <c:v>2622.3846153846152</c:v>
                </c:pt>
                <c:pt idx="12">
                  <c:v>2622.3846153846152</c:v>
                </c:pt>
                <c:pt idx="13">
                  <c:v>2622.3846153846152</c:v>
                </c:pt>
                <c:pt idx="14">
                  <c:v>2622.3846153846152</c:v>
                </c:pt>
                <c:pt idx="15">
                  <c:v>2622.3846153846152</c:v>
                </c:pt>
                <c:pt idx="16">
                  <c:v>2622.3846153846152</c:v>
                </c:pt>
                <c:pt idx="17">
                  <c:v>2622.3846153846152</c:v>
                </c:pt>
                <c:pt idx="18">
                  <c:v>2622.3846153846152</c:v>
                </c:pt>
                <c:pt idx="19">
                  <c:v>2622.3846153846152</c:v>
                </c:pt>
                <c:pt idx="20">
                  <c:v>2622.3846153846152</c:v>
                </c:pt>
                <c:pt idx="21">
                  <c:v>2622.3846153846152</c:v>
                </c:pt>
                <c:pt idx="22">
                  <c:v>2622.3846153846152</c:v>
                </c:pt>
                <c:pt idx="23">
                  <c:v>2622.3846153846152</c:v>
                </c:pt>
                <c:pt idx="24">
                  <c:v>2622.3846153846152</c:v>
                </c:pt>
                <c:pt idx="25">
                  <c:v>2622.3846153846152</c:v>
                </c:pt>
              </c:numCache>
            </c:numRef>
          </c:val>
          <c:smooth val="1"/>
        </c:ser>
        <c:dLbls>
          <c:showLegendKey val="0"/>
          <c:showVal val="0"/>
          <c:showCatName val="0"/>
          <c:showSerName val="0"/>
          <c:showPercent val="0"/>
          <c:showBubbleSize val="0"/>
        </c:dLbls>
        <c:marker val="1"/>
        <c:smooth val="0"/>
        <c:axId val="75507584"/>
        <c:axId val="75509120"/>
      </c:lineChart>
      <c:catAx>
        <c:axId val="75507584"/>
        <c:scaling>
          <c:orientation val="minMax"/>
        </c:scaling>
        <c:delete val="1"/>
        <c:axPos val="b"/>
        <c:numFmt formatCode="General" sourceLinked="1"/>
        <c:majorTickMark val="cross"/>
        <c:minorTickMark val="cross"/>
        <c:tickLblPos val="nextTo"/>
        <c:crossAx val="75509120"/>
        <c:crosses val="autoZero"/>
        <c:auto val="1"/>
        <c:lblAlgn val="ctr"/>
        <c:lblOffset val="100"/>
        <c:noMultiLvlLbl val="1"/>
      </c:catAx>
      <c:valAx>
        <c:axId val="75509120"/>
        <c:scaling>
          <c:orientation val="minMax"/>
        </c:scaling>
        <c:delete val="1"/>
        <c:axPos val="l"/>
        <c:majorGridlines/>
        <c:numFmt formatCode="General" sourceLinked="1"/>
        <c:majorTickMark val="cross"/>
        <c:minorTickMark val="cross"/>
        <c:tickLblPos val="nextTo"/>
        <c:crossAx val="75507584"/>
        <c:crosses val="autoZero"/>
        <c:crossBetween val="between"/>
      </c:valAx>
    </c:plotArea>
    <c:legend>
      <c:legendPos val="r"/>
      <c:overlay val="1"/>
    </c:legend>
    <c:plotVisOnly val="1"/>
    <c:dispBlanksAs val="gap"/>
    <c:showDLblsOverMax val="1"/>
  </c:chart>
  <c:externalData r:id="rId1">
    <c:autoUpdate val="1"/>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1158</Words>
  <Characters>7068</Characters>
  <Application>Microsoft Office Word</Application>
  <DocSecurity>0</DocSecurity>
  <Lines>58</Lines>
  <Paragraphs>16</Paragraphs>
  <ScaleCrop>false</ScaleCrop>
  <Company>Microsoft</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Bestyrelsen</dc:creator>
  <cp:lastModifiedBy>Bestyrelsen</cp:lastModifiedBy>
  <cp:revision>4</cp:revision>
  <dcterms:created xsi:type="dcterms:W3CDTF">2011-04-26T15:09:00Z</dcterms:created>
  <dcterms:modified xsi:type="dcterms:W3CDTF">2011-04-26T20:35:00Z</dcterms:modified>
</cp:coreProperties>
</file>